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B5" w:rsidRPr="009D4528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Claris</w:t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>AMB.WASZ.24</w:t>
      </w:r>
      <w:r>
        <w:rPr>
          <w:rFonts w:asciiTheme="minorHAnsi" w:hAnsiTheme="minorHAnsi"/>
          <w:color w:val="000000" w:themeColor="text1"/>
          <w:sz w:val="22"/>
          <w:szCs w:val="22"/>
        </w:rPr>
        <w:t>14</w:t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>64.2020</w:t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9D4528">
        <w:rPr>
          <w:rFonts w:asciiTheme="minorHAnsi" w:hAnsi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/>
          <w:color w:val="000000" w:themeColor="text1"/>
          <w:sz w:val="22"/>
          <w:szCs w:val="22"/>
        </w:rPr>
        <w:t>D: 12.05.2020</w:t>
      </w: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Otrzymują</w:t>
      </w:r>
      <w:r w:rsidRPr="009D4528">
        <w:rPr>
          <w:rFonts w:asciiTheme="minorHAnsi" w:hAnsiTheme="minorHAnsi"/>
          <w:sz w:val="22"/>
          <w:szCs w:val="22"/>
          <w:u w:val="single"/>
        </w:rPr>
        <w:t xml:space="preserve">:  </w:t>
      </w:r>
    </w:p>
    <w:p w:rsidR="00D513B5" w:rsidRDefault="00D513B5" w:rsidP="00D513B5">
      <w:pPr>
        <w:spacing w:after="0" w:line="240" w:lineRule="auto"/>
      </w:pPr>
      <w:r w:rsidRPr="009D4528">
        <w:t xml:space="preserve">MSZ DA – </w:t>
      </w:r>
      <w:r>
        <w:t>PERL</w:t>
      </w:r>
    </w:p>
    <w:p w:rsidR="00D513B5" w:rsidRPr="009D4528" w:rsidRDefault="00D513B5" w:rsidP="00D513B5">
      <w:pPr>
        <w:spacing w:after="0" w:line="240" w:lineRule="auto"/>
      </w:pP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Do wiadomości:</w:t>
      </w: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MSZ Kierownictwo – LANG</w:t>
      </w: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MSZ Kierownictwo – JABŁOŃSKI</w:t>
      </w: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MSZ DPB – BUGAJSKI</w:t>
      </w:r>
    </w:p>
    <w:p w:rsidR="00D513B5" w:rsidRPr="00DB408E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41793">
        <w:rPr>
          <w:rFonts w:asciiTheme="minorHAnsi" w:hAnsiTheme="minorHAnsi"/>
          <w:sz w:val="22"/>
          <w:szCs w:val="22"/>
        </w:rPr>
        <w:t xml:space="preserve">MSZ DWE – </w:t>
      </w:r>
      <w:r>
        <w:rPr>
          <w:rFonts w:asciiTheme="minorHAnsi" w:hAnsiTheme="minorHAnsi"/>
          <w:sz w:val="22"/>
          <w:szCs w:val="22"/>
        </w:rPr>
        <w:t>PONIKIEWSKI</w:t>
      </w: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MSZ DEUE – KAŁUŻYŃSKA</w:t>
      </w:r>
    </w:p>
    <w:p w:rsidR="00D513B5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MSZ BDP – STADEJEK</w:t>
      </w:r>
    </w:p>
    <w:p w:rsidR="00D513B5" w:rsidRPr="00264342" w:rsidRDefault="00D513B5" w:rsidP="00D513B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64342">
        <w:rPr>
          <w:rFonts w:asciiTheme="minorHAnsi" w:hAnsiTheme="minorHAnsi"/>
          <w:sz w:val="22"/>
          <w:szCs w:val="22"/>
        </w:rPr>
        <w:t xml:space="preserve">MSZ </w:t>
      </w:r>
      <w:proofErr w:type="spellStart"/>
      <w:r w:rsidRPr="00264342">
        <w:rPr>
          <w:rFonts w:asciiTheme="minorHAnsi" w:hAnsiTheme="minorHAnsi"/>
          <w:sz w:val="22"/>
          <w:szCs w:val="22"/>
        </w:rPr>
        <w:t>DAiB</w:t>
      </w:r>
      <w:r>
        <w:rPr>
          <w:rFonts w:asciiTheme="minorHAnsi" w:hAnsiTheme="minorHAnsi"/>
          <w:sz w:val="22"/>
          <w:szCs w:val="22"/>
        </w:rPr>
        <w:t>W</w:t>
      </w:r>
      <w:proofErr w:type="spellEnd"/>
      <w:r w:rsidRPr="00264342">
        <w:rPr>
          <w:rFonts w:asciiTheme="minorHAnsi" w:hAnsiTheme="minorHAnsi"/>
          <w:sz w:val="22"/>
          <w:szCs w:val="22"/>
        </w:rPr>
        <w:t xml:space="preserve"> – BOBAK </w:t>
      </w:r>
    </w:p>
    <w:p w:rsidR="00D513B5" w:rsidRPr="00E93563" w:rsidRDefault="00D513B5" w:rsidP="00D513B5">
      <w:pPr>
        <w:pBdr>
          <w:bottom w:val="single" w:sz="12" w:space="0" w:color="auto"/>
        </w:pBdr>
        <w:tabs>
          <w:tab w:val="left" w:pos="2194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KPRP BSZ – DZIELSKI</w:t>
      </w:r>
    </w:p>
    <w:p w:rsidR="00D513B5" w:rsidRPr="00264342" w:rsidRDefault="00D513B5" w:rsidP="00D513B5">
      <w:pPr>
        <w:pBdr>
          <w:bottom w:val="single" w:sz="12" w:space="0" w:color="auto"/>
        </w:pBdr>
        <w:tabs>
          <w:tab w:val="left" w:pos="2194"/>
        </w:tabs>
        <w:spacing w:after="0"/>
        <w:jc w:val="both"/>
        <w:rPr>
          <w:color w:val="000000" w:themeColor="text1"/>
          <w:lang w:val="en-US"/>
        </w:rPr>
      </w:pPr>
      <w:r w:rsidRPr="00264342">
        <w:rPr>
          <w:color w:val="000000" w:themeColor="text1"/>
          <w:lang w:val="en-US"/>
        </w:rPr>
        <w:t>MR DHM –PAWELEC (</w:t>
      </w:r>
      <w:hyperlink r:id="rId9" w:history="1">
        <w:r w:rsidRPr="00264342">
          <w:rPr>
            <w:rStyle w:val="Hipercze"/>
            <w:lang w:val="en-US"/>
          </w:rPr>
          <w:t>sekretariatDHM@mpit.gov.pl</w:t>
        </w:r>
      </w:hyperlink>
      <w:r w:rsidRPr="00264342">
        <w:rPr>
          <w:rStyle w:val="Hipercze"/>
          <w:lang w:val="en-US"/>
        </w:rPr>
        <w:t>;także</w:t>
      </w:r>
      <w:hyperlink r:id="rId10" w:history="1">
        <w:r w:rsidRPr="00264342">
          <w:rPr>
            <w:rStyle w:val="Hipercze"/>
            <w:lang w:val="en-US"/>
          </w:rPr>
          <w:t>alicja.krzyzanowska@mpit.gov.pl</w:t>
        </w:r>
      </w:hyperlink>
      <w:r w:rsidRPr="00264342">
        <w:rPr>
          <w:color w:val="000000" w:themeColor="text1"/>
          <w:lang w:val="en-US"/>
        </w:rPr>
        <w:t>)</w:t>
      </w:r>
    </w:p>
    <w:p w:rsidR="00D513B5" w:rsidRDefault="00D513B5" w:rsidP="00D513B5">
      <w:pPr>
        <w:pBdr>
          <w:bottom w:val="single" w:sz="12" w:space="0" w:color="auto"/>
        </w:pBdr>
        <w:tabs>
          <w:tab w:val="left" w:pos="2194"/>
        </w:tabs>
        <w:spacing w:after="0"/>
        <w:jc w:val="both"/>
        <w:rPr>
          <w:color w:val="000000" w:themeColor="text1"/>
        </w:rPr>
      </w:pPr>
      <w:r w:rsidRPr="001105D3">
        <w:rPr>
          <w:color w:val="000000" w:themeColor="text1"/>
        </w:rPr>
        <w:t>MF DWM – ŁOSZEWSKI (</w:t>
      </w:r>
      <w:hyperlink r:id="rId11" w:history="1">
        <w:r w:rsidRPr="00F729A2">
          <w:rPr>
            <w:rStyle w:val="Hipercze"/>
          </w:rPr>
          <w:t>sekretariat.wm@mf.gov.pl</w:t>
        </w:r>
      </w:hyperlink>
      <w:r w:rsidRPr="001105D3">
        <w:rPr>
          <w:color w:val="000000" w:themeColor="text1"/>
        </w:rPr>
        <w:t>)</w:t>
      </w:r>
    </w:p>
    <w:p w:rsidR="00D513B5" w:rsidRPr="001105D3" w:rsidRDefault="00D513B5" w:rsidP="00D513B5">
      <w:pPr>
        <w:pBdr>
          <w:bottom w:val="single" w:sz="12" w:space="0" w:color="auto"/>
        </w:pBdr>
        <w:tabs>
          <w:tab w:val="left" w:pos="2194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PEKIN- ZAJĄCZKOWSKI</w:t>
      </w:r>
    </w:p>
    <w:p w:rsidR="00D513B5" w:rsidRDefault="00D513B5" w:rsidP="00D513B5">
      <w:pPr>
        <w:pBdr>
          <w:bottom w:val="single" w:sz="12" w:space="0" w:color="auto"/>
        </w:pBdr>
        <w:tabs>
          <w:tab w:val="left" w:pos="2194"/>
        </w:tabs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BRUKSELA UE – SADOŚ</w:t>
      </w:r>
    </w:p>
    <w:p w:rsidR="00D513B5" w:rsidRPr="00BE3B62" w:rsidRDefault="00860882" w:rsidP="00D513B5">
      <w:pPr>
        <w:pBdr>
          <w:bottom w:val="single" w:sz="12" w:space="0" w:color="auto"/>
        </w:pBdr>
        <w:tabs>
          <w:tab w:val="left" w:pos="2194"/>
        </w:tabs>
        <w:spacing w:after="0"/>
        <w:jc w:val="both"/>
        <w:rPr>
          <w:color w:val="000000" w:themeColor="text1"/>
        </w:rPr>
      </w:pPr>
      <w:hyperlink r:id="rId12" w:history="1">
        <w:r w:rsidR="00D513B5" w:rsidRPr="00167751">
          <w:rPr>
            <w:rStyle w:val="Hipercze"/>
          </w:rPr>
          <w:t>bazi.diplopedia@msz.gov.pl</w:t>
        </w:r>
      </w:hyperlink>
    </w:p>
    <w:p w:rsidR="00D513B5" w:rsidRDefault="00D513B5" w:rsidP="00D513B5">
      <w:pPr>
        <w:spacing w:before="120"/>
        <w:jc w:val="both"/>
        <w:rPr>
          <w:b/>
          <w:szCs w:val="28"/>
        </w:rPr>
      </w:pPr>
      <w:r w:rsidRPr="000400A9">
        <w:rPr>
          <w:b/>
          <w:szCs w:val="28"/>
        </w:rPr>
        <w:t xml:space="preserve">Dot. </w:t>
      </w:r>
      <w:r>
        <w:rPr>
          <w:b/>
          <w:szCs w:val="28"/>
        </w:rPr>
        <w:t>Raportu nt. współpracy inwestycyjnej USA – Chiny.</w:t>
      </w:r>
    </w:p>
    <w:p w:rsidR="00D513B5" w:rsidRDefault="00D513B5" w:rsidP="00D513B5">
      <w:pPr>
        <w:spacing w:before="120"/>
        <w:jc w:val="both"/>
        <w:rPr>
          <w:szCs w:val="28"/>
        </w:rPr>
      </w:pPr>
      <w:r>
        <w:rPr>
          <w:szCs w:val="28"/>
        </w:rPr>
        <w:t xml:space="preserve">11 maja br. niezależna instytucja badawcza  </w:t>
      </w:r>
      <w:proofErr w:type="spellStart"/>
      <w:r>
        <w:rPr>
          <w:szCs w:val="28"/>
        </w:rPr>
        <w:t>Rhodium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Group</w:t>
      </w:r>
      <w:proofErr w:type="spellEnd"/>
      <w:r>
        <w:rPr>
          <w:szCs w:val="28"/>
        </w:rPr>
        <w:t xml:space="preserve"> (RHG) wraz z Narodowym Komitetem ds. stosunków USA-Chiny (</w:t>
      </w:r>
      <w:r w:rsidRPr="00CA63D9">
        <w:rPr>
          <w:i/>
          <w:szCs w:val="28"/>
        </w:rPr>
        <w:t xml:space="preserve">The </w:t>
      </w:r>
      <w:proofErr w:type="spellStart"/>
      <w:r w:rsidRPr="00CA63D9">
        <w:rPr>
          <w:i/>
          <w:szCs w:val="28"/>
        </w:rPr>
        <w:t>National</w:t>
      </w:r>
      <w:proofErr w:type="spellEnd"/>
      <w:r w:rsidRPr="00CA63D9">
        <w:rPr>
          <w:i/>
          <w:szCs w:val="28"/>
        </w:rPr>
        <w:t xml:space="preserve"> </w:t>
      </w:r>
      <w:proofErr w:type="spellStart"/>
      <w:r w:rsidRPr="00CA63D9">
        <w:rPr>
          <w:i/>
          <w:szCs w:val="28"/>
        </w:rPr>
        <w:t>Committee</w:t>
      </w:r>
      <w:proofErr w:type="spellEnd"/>
      <w:r w:rsidRPr="00CA63D9">
        <w:rPr>
          <w:i/>
          <w:szCs w:val="28"/>
        </w:rPr>
        <w:t xml:space="preserve"> on United </w:t>
      </w:r>
      <w:proofErr w:type="spellStart"/>
      <w:r w:rsidRPr="00CA63D9">
        <w:rPr>
          <w:i/>
          <w:szCs w:val="28"/>
        </w:rPr>
        <w:t>States</w:t>
      </w:r>
      <w:proofErr w:type="spellEnd"/>
      <w:r w:rsidRPr="00CA63D9">
        <w:rPr>
          <w:i/>
          <w:szCs w:val="28"/>
        </w:rPr>
        <w:t>–China Relations</w:t>
      </w:r>
      <w:r>
        <w:rPr>
          <w:szCs w:val="28"/>
        </w:rPr>
        <w:t xml:space="preserve">) opublikowały </w:t>
      </w:r>
      <w:hyperlink r:id="rId13" w:history="1">
        <w:r w:rsidR="007810DB">
          <w:rPr>
            <w:rStyle w:val="Hipercze"/>
            <w:szCs w:val="28"/>
          </w:rPr>
          <w:t>raport</w:t>
        </w:r>
      </w:hyperlink>
      <w:r w:rsidR="007810DB">
        <w:rPr>
          <w:szCs w:val="28"/>
        </w:rPr>
        <w:t xml:space="preserve"> </w:t>
      </w:r>
      <w:r>
        <w:rPr>
          <w:szCs w:val="28"/>
        </w:rPr>
        <w:t>na temat przepływów bezpośrednich inwestycji zagranicznych (FDI) między Stanami Zjednoczonymi a Chinami. Raport przedstawia zaktualizowane dane za rok 2019 oraz prognozę na rok 2020. Najważniejsze ustalenia raportu to:</w:t>
      </w:r>
    </w:p>
    <w:p w:rsidR="00D513B5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t xml:space="preserve">Chińskie  inwestycje  bezpośrednie w USA spadły do poziomu 5 mld USD, co oznacza niewielki spadek w porównaniu z rokiem ubiegłym i najniższy poziom od czasu światowego kryzysu finansowego w 2009 r. Główną przyczyną powyższego spadku jest zmniejszenie zaufania inwestorów w związku z niepewnymi perspektywami w relacjach USA-Chiny. Spadek chińskich inwestycji dotyczył zarówno fuzji i przejęć, jak również FDI typu </w:t>
      </w:r>
      <w:proofErr w:type="spellStart"/>
      <w:r>
        <w:rPr>
          <w:szCs w:val="28"/>
        </w:rPr>
        <w:t>greenfield</w:t>
      </w:r>
      <w:proofErr w:type="spellEnd"/>
      <w:r>
        <w:rPr>
          <w:szCs w:val="28"/>
        </w:rPr>
        <w:t xml:space="preserve">. Był odczuwalny w wielu branżach, </w:t>
      </w:r>
      <w:r w:rsidR="007C7D31">
        <w:rPr>
          <w:szCs w:val="28"/>
        </w:rPr>
        <w:t>przy czym</w:t>
      </w:r>
      <w:r>
        <w:rPr>
          <w:szCs w:val="28"/>
        </w:rPr>
        <w:t xml:space="preserve"> najbardziej odpornymi były te o niskim ryzyku politycznym i regulacyjnym, takie jak sektor produkcyjny, usługowy oraz motoryzacyjny.</w:t>
      </w:r>
    </w:p>
    <w:p w:rsidR="00D513B5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t>Amerykańskie inwestycje bezpośrednie w Chinach nieznacznie wzrosły w porównaniu z poprzednimi latami</w:t>
      </w:r>
      <w:r w:rsidR="00F13109">
        <w:rPr>
          <w:szCs w:val="28"/>
        </w:rPr>
        <w:t>, tj.</w:t>
      </w:r>
      <w:r>
        <w:rPr>
          <w:szCs w:val="28"/>
        </w:rPr>
        <w:t xml:space="preserve"> do 14 mld USD, co wynika przede wszystkim z popytu konsumpcyjnego w  </w:t>
      </w:r>
      <w:r w:rsidR="006C3648">
        <w:rPr>
          <w:szCs w:val="28"/>
        </w:rPr>
        <w:t>Chinach oraz złagodzenia</w:t>
      </w:r>
      <w:r>
        <w:rPr>
          <w:szCs w:val="28"/>
        </w:rPr>
        <w:t xml:space="preserve"> przez tamtejsze władze ograniczeń dot. zagranicznej własności w niektórych sektorach, głównie w sektorze motoryzacyjnym i</w:t>
      </w:r>
      <w:r w:rsidR="006C3648">
        <w:rPr>
          <w:szCs w:val="28"/>
        </w:rPr>
        <w:t> </w:t>
      </w:r>
      <w:r>
        <w:rPr>
          <w:szCs w:val="28"/>
        </w:rPr>
        <w:t xml:space="preserve">finansowym. Duża stabilność amerykańskich inwestycji w Chinach jest spowodowana wieloletnimi projektami typu </w:t>
      </w:r>
      <w:proofErr w:type="spellStart"/>
      <w:r>
        <w:rPr>
          <w:szCs w:val="28"/>
        </w:rPr>
        <w:t>greenfield</w:t>
      </w:r>
      <w:proofErr w:type="spellEnd"/>
      <w:r>
        <w:rPr>
          <w:szCs w:val="28"/>
        </w:rPr>
        <w:t xml:space="preserve"> ukierunkowanymi na lokalny popyt. N</w:t>
      </w:r>
      <w:r w:rsidR="00B63DE0">
        <w:rPr>
          <w:szCs w:val="28"/>
        </w:rPr>
        <w:t>ależy jednak zaznaczyć, że liczba</w:t>
      </w:r>
      <w:r>
        <w:rPr>
          <w:szCs w:val="28"/>
        </w:rPr>
        <w:t xml:space="preserve"> nowych </w:t>
      </w:r>
      <w:r w:rsidR="007C1F1B">
        <w:rPr>
          <w:szCs w:val="28"/>
        </w:rPr>
        <w:t xml:space="preserve">planowanych </w:t>
      </w:r>
      <w:r>
        <w:rPr>
          <w:szCs w:val="28"/>
        </w:rPr>
        <w:t>projektów tego typu zmniejsza się</w:t>
      </w:r>
      <w:r w:rsidRPr="00A755EE">
        <w:rPr>
          <w:szCs w:val="28"/>
        </w:rPr>
        <w:t>,</w:t>
      </w:r>
      <w:r>
        <w:rPr>
          <w:szCs w:val="28"/>
        </w:rPr>
        <w:t xml:space="preserve"> co zapowiada spowolnienie w tym obszarze w 2020 r.</w:t>
      </w:r>
    </w:p>
    <w:p w:rsidR="00D513B5" w:rsidRPr="001355D4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 w:rsidRPr="001355D4">
        <w:rPr>
          <w:szCs w:val="28"/>
        </w:rPr>
        <w:t xml:space="preserve">Chińskie inwestycje </w:t>
      </w:r>
      <w:r w:rsidR="006C3648" w:rsidRPr="001355D4">
        <w:rPr>
          <w:szCs w:val="28"/>
        </w:rPr>
        <w:t xml:space="preserve">w USA typu </w:t>
      </w:r>
      <w:r w:rsidRPr="001355D4">
        <w:rPr>
          <w:szCs w:val="28"/>
        </w:rPr>
        <w:t xml:space="preserve">venture </w:t>
      </w:r>
      <w:proofErr w:type="spellStart"/>
      <w:r w:rsidRPr="001355D4">
        <w:rPr>
          <w:szCs w:val="28"/>
        </w:rPr>
        <w:t>capital</w:t>
      </w:r>
      <w:proofErr w:type="spellEnd"/>
      <w:r w:rsidRPr="001355D4">
        <w:rPr>
          <w:szCs w:val="28"/>
        </w:rPr>
        <w:t xml:space="preserve"> spadły do 2,6 mld USD w 2019 r. w</w:t>
      </w:r>
      <w:r w:rsidR="007810DB">
        <w:rPr>
          <w:szCs w:val="28"/>
        </w:rPr>
        <w:t> </w:t>
      </w:r>
      <w:r w:rsidRPr="001355D4">
        <w:rPr>
          <w:szCs w:val="28"/>
        </w:rPr>
        <w:t xml:space="preserve">porównaniu do 4,7 mld USD w 2018 r. Jest to częściowo spowodowane zawirowaniami na rynku technologicznym w Chinach, które </w:t>
      </w:r>
      <w:r w:rsidR="001A54CF">
        <w:rPr>
          <w:szCs w:val="28"/>
        </w:rPr>
        <w:t>pociągnęły za sobą</w:t>
      </w:r>
      <w:bookmarkStart w:id="0" w:name="_GoBack"/>
      <w:bookmarkEnd w:id="0"/>
      <w:r w:rsidRPr="001355D4">
        <w:rPr>
          <w:szCs w:val="28"/>
        </w:rPr>
        <w:t xml:space="preserve"> </w:t>
      </w:r>
      <w:r w:rsidR="001355D4" w:rsidRPr="001355D4">
        <w:rPr>
          <w:szCs w:val="28"/>
        </w:rPr>
        <w:t>zmniejszenie zainteresowania inwestycjami zagranicznymi po stronie chińskich przedsiębiorców</w:t>
      </w:r>
      <w:r w:rsidRPr="001355D4">
        <w:rPr>
          <w:szCs w:val="28"/>
        </w:rPr>
        <w:t xml:space="preserve">. Napięcia w relacjach politycznych USA-Chiny i zmiany w </w:t>
      </w:r>
      <w:r w:rsidR="006C3648" w:rsidRPr="001355D4">
        <w:rPr>
          <w:szCs w:val="28"/>
        </w:rPr>
        <w:t xml:space="preserve">amerykańskich </w:t>
      </w:r>
      <w:r w:rsidRPr="001355D4">
        <w:rPr>
          <w:szCs w:val="28"/>
        </w:rPr>
        <w:t>przepisach prawnych (w tym przyjęcie ustaw FIRRMA i ECRA</w:t>
      </w:r>
      <w:r w:rsidR="006C3648" w:rsidRPr="001355D4">
        <w:rPr>
          <w:szCs w:val="28"/>
        </w:rPr>
        <w:t>)</w:t>
      </w:r>
      <w:r w:rsidRPr="001355D4">
        <w:rPr>
          <w:szCs w:val="28"/>
        </w:rPr>
        <w:t xml:space="preserve">, również przyczyniły się do </w:t>
      </w:r>
      <w:r w:rsidR="001355D4" w:rsidRPr="001355D4">
        <w:rPr>
          <w:szCs w:val="28"/>
        </w:rPr>
        <w:t xml:space="preserve">tego spadku </w:t>
      </w:r>
      <w:r w:rsidR="007C1F1B">
        <w:rPr>
          <w:szCs w:val="28"/>
        </w:rPr>
        <w:t>odnotowanego na wszystkich</w:t>
      </w:r>
      <w:r w:rsidR="001355D4" w:rsidRPr="001355D4">
        <w:rPr>
          <w:szCs w:val="28"/>
        </w:rPr>
        <w:t xml:space="preserve"> etap</w:t>
      </w:r>
      <w:r w:rsidR="007C1F1B">
        <w:rPr>
          <w:szCs w:val="28"/>
        </w:rPr>
        <w:t>ach</w:t>
      </w:r>
      <w:r w:rsidR="001355D4" w:rsidRPr="001355D4">
        <w:rPr>
          <w:szCs w:val="28"/>
        </w:rPr>
        <w:t xml:space="preserve"> </w:t>
      </w:r>
      <w:r w:rsidRPr="001355D4">
        <w:rPr>
          <w:szCs w:val="28"/>
        </w:rPr>
        <w:t xml:space="preserve">pozyskiwania funduszy, </w:t>
      </w:r>
      <w:r w:rsidR="007C1F1B">
        <w:rPr>
          <w:szCs w:val="28"/>
        </w:rPr>
        <w:t>jak również w przypadku wszystkich sektorów docelowych i typów</w:t>
      </w:r>
      <w:r w:rsidRPr="001355D4">
        <w:rPr>
          <w:szCs w:val="28"/>
        </w:rPr>
        <w:t xml:space="preserve"> inwestorów. </w:t>
      </w:r>
    </w:p>
    <w:p w:rsidR="00D513B5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lastRenderedPageBreak/>
        <w:t>W 2019 r. amerykańskie firmy typu venture zainwestowały ok. 5 mld USD w chińskie start-</w:t>
      </w:r>
      <w:proofErr w:type="spellStart"/>
      <w:r>
        <w:rPr>
          <w:szCs w:val="28"/>
        </w:rPr>
        <w:t>upy</w:t>
      </w:r>
      <w:proofErr w:type="spellEnd"/>
      <w:r>
        <w:rPr>
          <w:szCs w:val="28"/>
        </w:rPr>
        <w:t>, co oznacza bardzo duży spadek w porównaniu z rekordowym rokiem 2018, kiedy to wyniosły 19,6</w:t>
      </w:r>
      <w:r w:rsidR="007810DB">
        <w:rPr>
          <w:szCs w:val="28"/>
        </w:rPr>
        <w:t> </w:t>
      </w:r>
      <w:r>
        <w:rPr>
          <w:szCs w:val="28"/>
        </w:rPr>
        <w:t xml:space="preserve">mld USD.  Spowolnienie na chińskim rynku kapitału podwyższonego ryzyka jest </w:t>
      </w:r>
      <w:r w:rsidR="006C3648">
        <w:rPr>
          <w:szCs w:val="28"/>
        </w:rPr>
        <w:t>związane</w:t>
      </w:r>
      <w:r>
        <w:rPr>
          <w:szCs w:val="28"/>
        </w:rPr>
        <w:t xml:space="preserve"> z</w:t>
      </w:r>
      <w:r w:rsidR="006C3648">
        <w:rPr>
          <w:szCs w:val="28"/>
        </w:rPr>
        <w:t> </w:t>
      </w:r>
      <w:r>
        <w:rPr>
          <w:szCs w:val="28"/>
        </w:rPr>
        <w:t>obawami inwestorów, którzy w obliczu rosnącej niepewności gospodarczej stali się bardziej selektywn</w:t>
      </w:r>
      <w:r w:rsidR="00B63DE0">
        <w:rPr>
          <w:szCs w:val="28"/>
        </w:rPr>
        <w:t>i. Dodatkowo, zdaniem części</w:t>
      </w:r>
      <w:r>
        <w:rPr>
          <w:szCs w:val="28"/>
        </w:rPr>
        <w:t xml:space="preserve"> analityków, niektóre branże chińskiego sektora technologicznego po latach szybkiego wzrostu odnotowały znaczne spowolnienie</w:t>
      </w:r>
      <w:r w:rsidR="007C7D31" w:rsidRPr="007C7D31">
        <w:rPr>
          <w:szCs w:val="28"/>
        </w:rPr>
        <w:t xml:space="preserve"> </w:t>
      </w:r>
      <w:r w:rsidR="007C7D31">
        <w:rPr>
          <w:szCs w:val="28"/>
        </w:rPr>
        <w:t>koniunkturalne</w:t>
      </w:r>
      <w:r>
        <w:rPr>
          <w:szCs w:val="28"/>
        </w:rPr>
        <w:t xml:space="preserve">. </w:t>
      </w:r>
    </w:p>
    <w:p w:rsidR="00D513B5" w:rsidRPr="00FB6AFB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 w:rsidRPr="00FB6AFB">
        <w:rPr>
          <w:szCs w:val="28"/>
        </w:rPr>
        <w:t>W wyniku zamknięcia gospodarek i fizycznego ograniczenia mobilności</w:t>
      </w:r>
      <w:r w:rsidR="00FB6AFB" w:rsidRPr="00FB6AFB">
        <w:rPr>
          <w:szCs w:val="28"/>
        </w:rPr>
        <w:t xml:space="preserve"> na skutek pandemii koronawirusa w pierwszym kwartale br. w USA nie odnotowano nowych chińskich inwestycji zagranicznych. Ożywienie pod tym względem prawdopodobnie nastąpi w</w:t>
      </w:r>
      <w:r w:rsidR="00FB6AFB">
        <w:rPr>
          <w:szCs w:val="28"/>
        </w:rPr>
        <w:t> </w:t>
      </w:r>
      <w:r w:rsidR="00FB6AFB" w:rsidRPr="00FB6AFB">
        <w:rPr>
          <w:szCs w:val="28"/>
        </w:rPr>
        <w:t xml:space="preserve">drugiej połowie br. </w:t>
      </w:r>
    </w:p>
    <w:p w:rsidR="00D513B5" w:rsidRPr="001355D4" w:rsidRDefault="00B63DE0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t>Pandemia korona</w:t>
      </w:r>
      <w:r w:rsidR="001355D4" w:rsidRPr="001355D4">
        <w:rPr>
          <w:szCs w:val="28"/>
        </w:rPr>
        <w:t>wirusa</w:t>
      </w:r>
      <w:r w:rsidR="00D513B5" w:rsidRPr="001355D4">
        <w:rPr>
          <w:szCs w:val="28"/>
        </w:rPr>
        <w:t xml:space="preserve"> zmienia perspektywy rozwoju zarówno dla pojedynczych sektorów, jak również wzrostu gospodarczego jako całości, </w:t>
      </w:r>
      <w:r w:rsidR="001355D4" w:rsidRPr="001355D4">
        <w:rPr>
          <w:szCs w:val="28"/>
        </w:rPr>
        <w:t xml:space="preserve">w tym </w:t>
      </w:r>
      <w:r w:rsidR="007C1F1B">
        <w:rPr>
          <w:szCs w:val="28"/>
        </w:rPr>
        <w:t>wpływa negatywnie na</w:t>
      </w:r>
      <w:r w:rsidR="00D063F2" w:rsidRPr="001355D4">
        <w:rPr>
          <w:szCs w:val="28"/>
        </w:rPr>
        <w:t xml:space="preserve"> zain</w:t>
      </w:r>
      <w:r w:rsidR="001355D4" w:rsidRPr="001355D4">
        <w:rPr>
          <w:szCs w:val="28"/>
        </w:rPr>
        <w:t>tereso</w:t>
      </w:r>
      <w:r w:rsidR="00D063F2" w:rsidRPr="001355D4">
        <w:rPr>
          <w:szCs w:val="28"/>
        </w:rPr>
        <w:t xml:space="preserve">wanie inwestorów </w:t>
      </w:r>
      <w:r w:rsidR="001355D4" w:rsidRPr="001355D4">
        <w:rPr>
          <w:szCs w:val="28"/>
        </w:rPr>
        <w:t>projektami</w:t>
      </w:r>
      <w:r w:rsidR="007C1F1B">
        <w:rPr>
          <w:szCs w:val="28"/>
        </w:rPr>
        <w:t xml:space="preserve"> o podwyższanym ryzyku</w:t>
      </w:r>
      <w:r w:rsidR="00D063F2" w:rsidRPr="001355D4">
        <w:rPr>
          <w:szCs w:val="28"/>
        </w:rPr>
        <w:t>, co w efekcie prowadzi do obniżenia</w:t>
      </w:r>
      <w:r w:rsidR="00D513B5" w:rsidRPr="001355D4">
        <w:rPr>
          <w:szCs w:val="28"/>
        </w:rPr>
        <w:t xml:space="preserve"> poziom</w:t>
      </w:r>
      <w:r w:rsidR="00D063F2" w:rsidRPr="001355D4">
        <w:rPr>
          <w:szCs w:val="28"/>
        </w:rPr>
        <w:t>u</w:t>
      </w:r>
      <w:r w:rsidR="00D513B5" w:rsidRPr="001355D4">
        <w:rPr>
          <w:szCs w:val="28"/>
        </w:rPr>
        <w:t xml:space="preserve"> inwestycji</w:t>
      </w:r>
      <w:r w:rsidR="00D063F2" w:rsidRPr="001355D4">
        <w:rPr>
          <w:szCs w:val="28"/>
        </w:rPr>
        <w:t xml:space="preserve">. </w:t>
      </w:r>
      <w:r w:rsidR="00FB6AFB" w:rsidRPr="001355D4">
        <w:rPr>
          <w:szCs w:val="28"/>
        </w:rPr>
        <w:t>P</w:t>
      </w:r>
      <w:r w:rsidR="00D513B5" w:rsidRPr="001355D4">
        <w:rPr>
          <w:szCs w:val="28"/>
        </w:rPr>
        <w:t>rognozowany blisko zerowy wzrost PKB w Chinach, w</w:t>
      </w:r>
      <w:r w:rsidR="007C1F1B">
        <w:rPr>
          <w:szCs w:val="28"/>
        </w:rPr>
        <w:t> </w:t>
      </w:r>
      <w:r w:rsidR="00D513B5" w:rsidRPr="001355D4">
        <w:rPr>
          <w:szCs w:val="28"/>
        </w:rPr>
        <w:t>porównaniu ze średnią 7,6%</w:t>
      </w:r>
      <w:r w:rsidR="007810DB">
        <w:rPr>
          <w:szCs w:val="28"/>
        </w:rPr>
        <w:t> </w:t>
      </w:r>
      <w:r w:rsidR="00D513B5" w:rsidRPr="001355D4">
        <w:rPr>
          <w:szCs w:val="28"/>
        </w:rPr>
        <w:t>w</w:t>
      </w:r>
      <w:r w:rsidR="001355D4" w:rsidRPr="001355D4">
        <w:rPr>
          <w:szCs w:val="28"/>
        </w:rPr>
        <w:t> </w:t>
      </w:r>
      <w:r w:rsidR="00D513B5" w:rsidRPr="001355D4">
        <w:rPr>
          <w:szCs w:val="28"/>
        </w:rPr>
        <w:t xml:space="preserve">poprzedniej dekadzie, wymusza na przedsiębiorstwach ograniczenie wydatków inwestycyjnych. Krótkoterminowe prognozy dla amerykańskiej gospodarki są równie </w:t>
      </w:r>
      <w:r w:rsidR="00FB6AFB" w:rsidRPr="001355D4">
        <w:rPr>
          <w:szCs w:val="28"/>
        </w:rPr>
        <w:t>pesymistyczne</w:t>
      </w:r>
      <w:r w:rsidR="00D513B5" w:rsidRPr="001355D4">
        <w:rPr>
          <w:szCs w:val="28"/>
        </w:rPr>
        <w:t xml:space="preserve"> i wiele sektorów, k</w:t>
      </w:r>
      <w:r w:rsidR="00FB6AFB" w:rsidRPr="001355D4">
        <w:rPr>
          <w:szCs w:val="28"/>
        </w:rPr>
        <w:t>tórymi</w:t>
      </w:r>
      <w:r w:rsidR="00D513B5" w:rsidRPr="001355D4">
        <w:rPr>
          <w:szCs w:val="28"/>
        </w:rPr>
        <w:t xml:space="preserve"> w przeszłości </w:t>
      </w:r>
      <w:r w:rsidR="00FB6AFB" w:rsidRPr="001355D4">
        <w:rPr>
          <w:szCs w:val="28"/>
        </w:rPr>
        <w:t xml:space="preserve">byli zainteresowani chińscy inwestorzy </w:t>
      </w:r>
      <w:r w:rsidR="00D513B5" w:rsidRPr="001355D4">
        <w:rPr>
          <w:szCs w:val="28"/>
        </w:rPr>
        <w:t xml:space="preserve">może </w:t>
      </w:r>
      <w:r w:rsidR="00FB6AFB" w:rsidRPr="001355D4">
        <w:rPr>
          <w:szCs w:val="28"/>
        </w:rPr>
        <w:t>doświadczyć spowolnienia</w:t>
      </w:r>
      <w:r w:rsidR="00D513B5" w:rsidRPr="001355D4">
        <w:rPr>
          <w:szCs w:val="28"/>
        </w:rPr>
        <w:t xml:space="preserve"> (turystyka, energia i</w:t>
      </w:r>
      <w:r w:rsidR="00FB6AFB" w:rsidRPr="001355D4">
        <w:rPr>
          <w:szCs w:val="28"/>
        </w:rPr>
        <w:t> </w:t>
      </w:r>
      <w:r w:rsidR="00D513B5" w:rsidRPr="001355D4">
        <w:rPr>
          <w:szCs w:val="28"/>
        </w:rPr>
        <w:t xml:space="preserve">nieruchomości komercyjne). </w:t>
      </w:r>
    </w:p>
    <w:p w:rsidR="00D513B5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t>Pandemia</w:t>
      </w:r>
      <w:r w:rsidRPr="005C5FE6">
        <w:rPr>
          <w:szCs w:val="28"/>
        </w:rPr>
        <w:t xml:space="preserve"> ożywił</w:t>
      </w:r>
      <w:r>
        <w:rPr>
          <w:szCs w:val="28"/>
        </w:rPr>
        <w:t>a</w:t>
      </w:r>
      <w:r w:rsidRPr="005C5FE6">
        <w:rPr>
          <w:szCs w:val="28"/>
        </w:rPr>
        <w:t xml:space="preserve"> debatę na temat reorganizacji globalnego łańcucha dostaw. Problemy z</w:t>
      </w:r>
      <w:r>
        <w:rPr>
          <w:szCs w:val="28"/>
        </w:rPr>
        <w:t> </w:t>
      </w:r>
      <w:r w:rsidRPr="005C5FE6">
        <w:rPr>
          <w:szCs w:val="28"/>
        </w:rPr>
        <w:t>zaopatrzeniem medycznym uwidoczniły uzależnienie od zagraniczn</w:t>
      </w:r>
      <w:r>
        <w:rPr>
          <w:szCs w:val="28"/>
        </w:rPr>
        <w:t xml:space="preserve">ych dostawców i wywołały </w:t>
      </w:r>
      <w:r w:rsidRPr="005C5FE6">
        <w:rPr>
          <w:szCs w:val="28"/>
        </w:rPr>
        <w:t>debatę na temat dywersyfikacji ryzyka</w:t>
      </w:r>
      <w:r w:rsidR="00D063F2">
        <w:rPr>
          <w:szCs w:val="28"/>
        </w:rPr>
        <w:t xml:space="preserve">, </w:t>
      </w:r>
      <w:r w:rsidR="006C3648">
        <w:rPr>
          <w:szCs w:val="28"/>
        </w:rPr>
        <w:t>w której centrum znalazły się</w:t>
      </w:r>
      <w:r w:rsidR="00D063F2">
        <w:rPr>
          <w:szCs w:val="28"/>
        </w:rPr>
        <w:t xml:space="preserve"> </w:t>
      </w:r>
      <w:r w:rsidRPr="005C5FE6">
        <w:rPr>
          <w:szCs w:val="28"/>
        </w:rPr>
        <w:t>Chiny</w:t>
      </w:r>
      <w:r w:rsidR="00D063F2">
        <w:rPr>
          <w:szCs w:val="28"/>
        </w:rPr>
        <w:t>. D</w:t>
      </w:r>
      <w:r w:rsidRPr="005C5FE6">
        <w:rPr>
          <w:szCs w:val="28"/>
        </w:rPr>
        <w:t xml:space="preserve">ywersyfikacja łańcucha dostaw może doprowadzić </w:t>
      </w:r>
      <w:r w:rsidR="00D063F2">
        <w:rPr>
          <w:szCs w:val="28"/>
        </w:rPr>
        <w:t xml:space="preserve">do podjęcia przez niektóre </w:t>
      </w:r>
      <w:r w:rsidRPr="005C5FE6">
        <w:rPr>
          <w:szCs w:val="28"/>
        </w:rPr>
        <w:t>amerykańskie przedsiębiorstwa</w:t>
      </w:r>
      <w:r w:rsidR="00D063F2">
        <w:rPr>
          <w:szCs w:val="28"/>
        </w:rPr>
        <w:t xml:space="preserve"> decyzji o </w:t>
      </w:r>
      <w:r w:rsidRPr="005C5FE6">
        <w:rPr>
          <w:szCs w:val="28"/>
        </w:rPr>
        <w:t>p</w:t>
      </w:r>
      <w:r w:rsidR="00D063F2">
        <w:rPr>
          <w:szCs w:val="28"/>
        </w:rPr>
        <w:t>rzeniesieniu</w:t>
      </w:r>
      <w:r>
        <w:rPr>
          <w:szCs w:val="28"/>
        </w:rPr>
        <w:t xml:space="preserve"> produkcji z Chin. </w:t>
      </w:r>
      <w:r w:rsidRPr="005C5FE6">
        <w:rPr>
          <w:szCs w:val="28"/>
        </w:rPr>
        <w:t>Jednocześnie nacisk na deglobalizację łańcucha dostaw może oznaczać również</w:t>
      </w:r>
      <w:r w:rsidR="00D063F2">
        <w:rPr>
          <w:szCs w:val="28"/>
        </w:rPr>
        <w:t xml:space="preserve"> </w:t>
      </w:r>
      <w:r w:rsidR="006C3648">
        <w:rPr>
          <w:szCs w:val="28"/>
        </w:rPr>
        <w:t>wzrost globalnego</w:t>
      </w:r>
      <w:r w:rsidRPr="005C5FE6">
        <w:rPr>
          <w:szCs w:val="28"/>
        </w:rPr>
        <w:t xml:space="preserve"> poziom</w:t>
      </w:r>
      <w:r w:rsidR="006C3648">
        <w:rPr>
          <w:szCs w:val="28"/>
        </w:rPr>
        <w:t>u</w:t>
      </w:r>
      <w:r w:rsidRPr="005C5FE6">
        <w:rPr>
          <w:szCs w:val="28"/>
        </w:rPr>
        <w:t xml:space="preserve"> bezpośrednich inwestycji zagranicznych, ponieważ międzynarodowe korporacje </w:t>
      </w:r>
      <w:r w:rsidR="00D063F2">
        <w:rPr>
          <w:szCs w:val="28"/>
        </w:rPr>
        <w:t xml:space="preserve"> będą musiały </w:t>
      </w:r>
      <w:r w:rsidRPr="005C5FE6">
        <w:rPr>
          <w:szCs w:val="28"/>
        </w:rPr>
        <w:t>zlokalizować nowe</w:t>
      </w:r>
      <w:r w:rsidR="00D063F2">
        <w:rPr>
          <w:szCs w:val="28"/>
        </w:rPr>
        <w:t xml:space="preserve"> źródła dostaw</w:t>
      </w:r>
      <w:r>
        <w:rPr>
          <w:szCs w:val="28"/>
        </w:rPr>
        <w:t>.</w:t>
      </w:r>
    </w:p>
    <w:p w:rsidR="00D513B5" w:rsidRPr="005C5FE6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t>Obecny k</w:t>
      </w:r>
      <w:r w:rsidRPr="005C5FE6">
        <w:rPr>
          <w:szCs w:val="28"/>
        </w:rPr>
        <w:t xml:space="preserve">ryzys stwarza </w:t>
      </w:r>
      <w:r>
        <w:rPr>
          <w:szCs w:val="28"/>
        </w:rPr>
        <w:t>również nowe możliwości inwestycyjne</w:t>
      </w:r>
      <w:r w:rsidR="007C1F1B">
        <w:rPr>
          <w:szCs w:val="28"/>
        </w:rPr>
        <w:t xml:space="preserve"> na skutek utraty wartości rynku kapitałowego</w:t>
      </w:r>
      <w:r w:rsidRPr="005C5FE6">
        <w:rPr>
          <w:szCs w:val="28"/>
        </w:rPr>
        <w:t>. W USA chińscy inwestorzy mog</w:t>
      </w:r>
      <w:r>
        <w:rPr>
          <w:szCs w:val="28"/>
        </w:rPr>
        <w:t>ą</w:t>
      </w:r>
      <w:r w:rsidRPr="005C5FE6">
        <w:rPr>
          <w:szCs w:val="28"/>
        </w:rPr>
        <w:t xml:space="preserve"> zainteresować się markami i aktywami w</w:t>
      </w:r>
      <w:r>
        <w:rPr>
          <w:szCs w:val="28"/>
        </w:rPr>
        <w:t> </w:t>
      </w:r>
      <w:r w:rsidRPr="005C5FE6">
        <w:rPr>
          <w:szCs w:val="28"/>
        </w:rPr>
        <w:t xml:space="preserve">branży rozrywkowej, turystycznej lub innymi dotkniętymi </w:t>
      </w:r>
      <w:r>
        <w:rPr>
          <w:szCs w:val="28"/>
        </w:rPr>
        <w:t>sektorami.</w:t>
      </w:r>
      <w:r w:rsidRPr="005C5FE6">
        <w:rPr>
          <w:szCs w:val="28"/>
        </w:rPr>
        <w:t xml:space="preserve"> </w:t>
      </w:r>
      <w:r>
        <w:rPr>
          <w:szCs w:val="28"/>
        </w:rPr>
        <w:t xml:space="preserve">Natomiast w </w:t>
      </w:r>
      <w:r w:rsidRPr="005C5FE6">
        <w:rPr>
          <w:szCs w:val="28"/>
        </w:rPr>
        <w:t xml:space="preserve">Chinach deflacja </w:t>
      </w:r>
      <w:r w:rsidR="001A54CF">
        <w:rPr>
          <w:szCs w:val="28"/>
        </w:rPr>
        <w:t xml:space="preserve">w </w:t>
      </w:r>
      <w:r w:rsidR="001A54CF">
        <w:rPr>
          <w:szCs w:val="28"/>
        </w:rPr>
        <w:t>sektor</w:t>
      </w:r>
      <w:r w:rsidR="001A54CF">
        <w:rPr>
          <w:szCs w:val="28"/>
        </w:rPr>
        <w:t>ze</w:t>
      </w:r>
      <w:r w:rsidR="001A54CF">
        <w:rPr>
          <w:szCs w:val="28"/>
        </w:rPr>
        <w:t xml:space="preserve"> technologicznym</w:t>
      </w:r>
      <w:r w:rsidR="001A54CF" w:rsidRPr="005C5FE6">
        <w:rPr>
          <w:szCs w:val="28"/>
        </w:rPr>
        <w:t xml:space="preserve"> </w:t>
      </w:r>
      <w:r w:rsidRPr="005C5FE6">
        <w:rPr>
          <w:szCs w:val="28"/>
        </w:rPr>
        <w:t>już wzbudziła zainteresowanie</w:t>
      </w:r>
      <w:r>
        <w:rPr>
          <w:szCs w:val="28"/>
        </w:rPr>
        <w:t> </w:t>
      </w:r>
      <w:r w:rsidRPr="005C5FE6">
        <w:rPr>
          <w:szCs w:val="28"/>
        </w:rPr>
        <w:t xml:space="preserve">inwestorów zagranicznych. </w:t>
      </w:r>
    </w:p>
    <w:p w:rsidR="00D513B5" w:rsidRDefault="00D513B5" w:rsidP="007810DB">
      <w:pPr>
        <w:pStyle w:val="Akapitzlist"/>
        <w:numPr>
          <w:ilvl w:val="0"/>
          <w:numId w:val="1"/>
        </w:numPr>
        <w:tabs>
          <w:tab w:val="left" w:pos="142"/>
        </w:tabs>
        <w:spacing w:before="120"/>
        <w:ind w:left="0" w:firstLine="0"/>
        <w:jc w:val="both"/>
        <w:rPr>
          <w:szCs w:val="28"/>
        </w:rPr>
      </w:pPr>
      <w:r>
        <w:rPr>
          <w:szCs w:val="28"/>
        </w:rPr>
        <w:t xml:space="preserve">Kryzys związany z pandemią koronawirusa stwarza potencjalną możliwość nawiązania przez USA i Chiny szerszej współpracy w zakresie jego łagodzenia, w tym wypracowania rozwiązań naukowych na rzecz powstrzymania rozprzestrzeniania się COVID-19. Jednak konkurencja gospodarcza, wzajemne oskarżanie się winą za pandemię, jak również trwająca kampania prezydencka w USA, mogą doprowadzić </w:t>
      </w:r>
      <w:r w:rsidR="00D063F2">
        <w:rPr>
          <w:szCs w:val="28"/>
        </w:rPr>
        <w:t xml:space="preserve">w najbliższych miesiącach </w:t>
      </w:r>
      <w:r>
        <w:rPr>
          <w:szCs w:val="28"/>
        </w:rPr>
        <w:t xml:space="preserve">do dalszej eskalacji napięć na linii Waszyngton-Pekin.  </w:t>
      </w:r>
    </w:p>
    <w:p w:rsidR="00D513B5" w:rsidRPr="002A1ECF" w:rsidRDefault="00D513B5" w:rsidP="00D513B5">
      <w:pPr>
        <w:spacing w:after="0"/>
        <w:jc w:val="both"/>
        <w:rPr>
          <w:szCs w:val="28"/>
          <w:u w:val="single"/>
        </w:rPr>
      </w:pPr>
      <w:r w:rsidRPr="002A1ECF">
        <w:rPr>
          <w:szCs w:val="28"/>
          <w:u w:val="single"/>
        </w:rPr>
        <w:t>Komentarz:</w:t>
      </w:r>
    </w:p>
    <w:p w:rsidR="00D513B5" w:rsidRDefault="007C7D31" w:rsidP="007810DB">
      <w:pPr>
        <w:pStyle w:val="Akapitzlist"/>
        <w:ind w:left="0"/>
        <w:jc w:val="both"/>
        <w:rPr>
          <w:szCs w:val="28"/>
        </w:rPr>
      </w:pPr>
      <w:r>
        <w:rPr>
          <w:szCs w:val="28"/>
        </w:rPr>
        <w:t>W ciągu ostatnich lat dynamika przepływu kapitału amerykańsk</w:t>
      </w:r>
      <w:r w:rsidR="00265758">
        <w:rPr>
          <w:szCs w:val="28"/>
        </w:rPr>
        <w:t xml:space="preserve">iego i  </w:t>
      </w:r>
      <w:r>
        <w:rPr>
          <w:szCs w:val="28"/>
        </w:rPr>
        <w:t>chińskiego uległa znacznym zmianom. P</w:t>
      </w:r>
      <w:r w:rsidR="00A504A7">
        <w:rPr>
          <w:szCs w:val="28"/>
        </w:rPr>
        <w:t>o</w:t>
      </w:r>
      <w:r>
        <w:rPr>
          <w:szCs w:val="28"/>
        </w:rPr>
        <w:t xml:space="preserve"> 2010 r. miał miejsce wzrost dwustronnych inwestycji, który </w:t>
      </w:r>
      <w:r w:rsidR="00A504A7">
        <w:rPr>
          <w:szCs w:val="28"/>
        </w:rPr>
        <w:t>osiągnął</w:t>
      </w:r>
      <w:r>
        <w:rPr>
          <w:szCs w:val="28"/>
        </w:rPr>
        <w:t xml:space="preserve"> </w:t>
      </w:r>
      <w:r w:rsidR="00A504A7">
        <w:rPr>
          <w:szCs w:val="28"/>
        </w:rPr>
        <w:t>największy</w:t>
      </w:r>
      <w:r>
        <w:rPr>
          <w:szCs w:val="28"/>
        </w:rPr>
        <w:t xml:space="preserve"> poziom </w:t>
      </w:r>
      <w:r w:rsidR="00A504A7">
        <w:rPr>
          <w:szCs w:val="28"/>
        </w:rPr>
        <w:t>w wys</w:t>
      </w:r>
      <w:r w:rsidR="00265758">
        <w:rPr>
          <w:szCs w:val="28"/>
        </w:rPr>
        <w:t>.</w:t>
      </w:r>
      <w:r w:rsidR="00A504A7">
        <w:rPr>
          <w:szCs w:val="28"/>
        </w:rPr>
        <w:t xml:space="preserve"> ponad 70 mld USD </w:t>
      </w:r>
      <w:r w:rsidR="00265758">
        <w:rPr>
          <w:szCs w:val="28"/>
        </w:rPr>
        <w:t xml:space="preserve">w 2016 r., </w:t>
      </w:r>
      <w:r>
        <w:rPr>
          <w:szCs w:val="28"/>
        </w:rPr>
        <w:t>głównie w związku z szybkim wzrostem inwestycji</w:t>
      </w:r>
      <w:r w:rsidR="00265758" w:rsidRPr="00265758">
        <w:rPr>
          <w:szCs w:val="28"/>
        </w:rPr>
        <w:t xml:space="preserve"> </w:t>
      </w:r>
      <w:r w:rsidR="00265758">
        <w:rPr>
          <w:szCs w:val="28"/>
        </w:rPr>
        <w:t>chińskich</w:t>
      </w:r>
      <w:r>
        <w:rPr>
          <w:szCs w:val="28"/>
        </w:rPr>
        <w:t xml:space="preserve">. Od 2017 r. </w:t>
      </w:r>
      <w:r w:rsidR="00265758">
        <w:rPr>
          <w:szCs w:val="28"/>
        </w:rPr>
        <w:t>chińskie</w:t>
      </w:r>
      <w:r>
        <w:rPr>
          <w:szCs w:val="28"/>
        </w:rPr>
        <w:t xml:space="preserve"> </w:t>
      </w:r>
      <w:r w:rsidR="00265758">
        <w:rPr>
          <w:szCs w:val="28"/>
        </w:rPr>
        <w:t xml:space="preserve">FDI </w:t>
      </w:r>
      <w:r>
        <w:rPr>
          <w:szCs w:val="28"/>
        </w:rPr>
        <w:t>znacznie spowolniły, na co wpływ miały m.in.</w:t>
      </w:r>
      <w:r w:rsidR="00D513B5">
        <w:rPr>
          <w:szCs w:val="28"/>
        </w:rPr>
        <w:t xml:space="preserve"> </w:t>
      </w:r>
      <w:r>
        <w:rPr>
          <w:szCs w:val="28"/>
        </w:rPr>
        <w:t xml:space="preserve">działania administracji </w:t>
      </w:r>
      <w:proofErr w:type="spellStart"/>
      <w:r w:rsidR="00D513B5">
        <w:rPr>
          <w:szCs w:val="28"/>
        </w:rPr>
        <w:t>Trumpa</w:t>
      </w:r>
      <w:proofErr w:type="spellEnd"/>
      <w:r w:rsidR="00265758">
        <w:rPr>
          <w:szCs w:val="28"/>
        </w:rPr>
        <w:t xml:space="preserve">, w tym </w:t>
      </w:r>
      <w:r w:rsidR="00BE4F88">
        <w:rPr>
          <w:szCs w:val="28"/>
        </w:rPr>
        <w:t>w szczególności</w:t>
      </w:r>
      <w:r w:rsidR="00265758">
        <w:rPr>
          <w:szCs w:val="28"/>
        </w:rPr>
        <w:t xml:space="preserve"> </w:t>
      </w:r>
      <w:r w:rsidR="00D513B5">
        <w:rPr>
          <w:szCs w:val="28"/>
        </w:rPr>
        <w:t>wojna handlowa</w:t>
      </w:r>
      <w:r w:rsidR="00D513B5" w:rsidRPr="001E6446">
        <w:rPr>
          <w:szCs w:val="28"/>
        </w:rPr>
        <w:t xml:space="preserve">. </w:t>
      </w:r>
      <w:r w:rsidR="00265758">
        <w:rPr>
          <w:szCs w:val="28"/>
        </w:rPr>
        <w:t xml:space="preserve">Zawarcie </w:t>
      </w:r>
      <w:r w:rsidR="00D513B5" w:rsidRPr="001E6446">
        <w:rPr>
          <w:szCs w:val="28"/>
        </w:rPr>
        <w:t xml:space="preserve">„pierwszej fazy”  dwustronnej umowy handlowej w styczniu br. przygotowało </w:t>
      </w:r>
      <w:r w:rsidR="00265758">
        <w:rPr>
          <w:szCs w:val="28"/>
        </w:rPr>
        <w:t>dobry</w:t>
      </w:r>
      <w:r w:rsidR="00D513B5" w:rsidRPr="001E6446">
        <w:rPr>
          <w:szCs w:val="28"/>
        </w:rPr>
        <w:t xml:space="preserve"> grunt </w:t>
      </w:r>
      <w:r w:rsidR="00265758">
        <w:rPr>
          <w:szCs w:val="28"/>
        </w:rPr>
        <w:t xml:space="preserve">pod nowe </w:t>
      </w:r>
      <w:r w:rsidR="00370A5C">
        <w:rPr>
          <w:szCs w:val="28"/>
        </w:rPr>
        <w:t xml:space="preserve">amerykańsko-chińskie </w:t>
      </w:r>
      <w:r w:rsidR="00265758">
        <w:rPr>
          <w:szCs w:val="28"/>
        </w:rPr>
        <w:t xml:space="preserve">FDI </w:t>
      </w:r>
      <w:r w:rsidR="00D513B5" w:rsidRPr="001E6446">
        <w:rPr>
          <w:szCs w:val="28"/>
        </w:rPr>
        <w:t>na rok 2020, jednakże wybuch pandemii COVID-19 zmienił perspektywy krótkoterminowe</w:t>
      </w:r>
      <w:r w:rsidR="00265758">
        <w:rPr>
          <w:szCs w:val="28"/>
        </w:rPr>
        <w:t xml:space="preserve"> w </w:t>
      </w:r>
      <w:r w:rsidR="00370A5C">
        <w:rPr>
          <w:szCs w:val="28"/>
        </w:rPr>
        <w:t xml:space="preserve">tym </w:t>
      </w:r>
      <w:r w:rsidR="00265758">
        <w:rPr>
          <w:szCs w:val="28"/>
        </w:rPr>
        <w:t>obszarze</w:t>
      </w:r>
      <w:r w:rsidR="00370A5C">
        <w:rPr>
          <w:szCs w:val="28"/>
        </w:rPr>
        <w:t xml:space="preserve"> i</w:t>
      </w:r>
      <w:r w:rsidR="00265758">
        <w:rPr>
          <w:szCs w:val="28"/>
        </w:rPr>
        <w:t xml:space="preserve"> </w:t>
      </w:r>
      <w:r w:rsidR="00D513B5">
        <w:rPr>
          <w:szCs w:val="28"/>
        </w:rPr>
        <w:t xml:space="preserve">prawdopodobnie </w:t>
      </w:r>
      <w:r w:rsidR="00265758">
        <w:rPr>
          <w:szCs w:val="28"/>
        </w:rPr>
        <w:t>zmieni też te długoterminowe</w:t>
      </w:r>
      <w:r w:rsidR="00D513B5" w:rsidRPr="001E6446">
        <w:rPr>
          <w:szCs w:val="28"/>
        </w:rPr>
        <w:t>.</w:t>
      </w:r>
      <w:r w:rsidR="00D513B5">
        <w:rPr>
          <w:szCs w:val="28"/>
        </w:rPr>
        <w:t xml:space="preserve">  </w:t>
      </w:r>
    </w:p>
    <w:p w:rsidR="00D513B5" w:rsidRPr="007F6CF4" w:rsidRDefault="00D513B5" w:rsidP="00D513B5">
      <w:pPr>
        <w:spacing w:after="120"/>
        <w:jc w:val="both"/>
        <w:rPr>
          <w:i/>
        </w:rPr>
      </w:pPr>
      <w:r w:rsidRPr="007F6CF4">
        <w:rPr>
          <w:i/>
        </w:rPr>
        <w:t>Oprac. A. Brylonek</w:t>
      </w:r>
      <w:r>
        <w:rPr>
          <w:i/>
        </w:rPr>
        <w:t xml:space="preserve"> </w:t>
      </w:r>
    </w:p>
    <w:p w:rsidR="00D513B5" w:rsidRDefault="00D513B5" w:rsidP="00D513B5">
      <w:pPr>
        <w:spacing w:after="0" w:line="240" w:lineRule="auto"/>
        <w:jc w:val="both"/>
      </w:pPr>
    </w:p>
    <w:p w:rsidR="00A755EE" w:rsidRPr="00D513B5" w:rsidRDefault="00D513B5" w:rsidP="00D513B5">
      <w:r w:rsidRPr="002C7A92">
        <w:rPr>
          <w:b/>
        </w:rPr>
        <w:t xml:space="preserve">/-/ </w:t>
      </w:r>
      <w:r>
        <w:rPr>
          <w:b/>
        </w:rPr>
        <w:t>WILCZEK</w:t>
      </w:r>
    </w:p>
    <w:sectPr w:rsidR="00A755EE" w:rsidRPr="00D513B5" w:rsidSect="003230A5">
      <w:pgSz w:w="11906" w:h="16838" w:code="9"/>
      <w:pgMar w:top="1417" w:right="1417" w:bottom="1417" w:left="850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82" w:rsidRDefault="00860882" w:rsidP="00894DDC">
      <w:pPr>
        <w:spacing w:after="0" w:line="240" w:lineRule="auto"/>
      </w:pPr>
      <w:r>
        <w:separator/>
      </w:r>
    </w:p>
  </w:endnote>
  <w:endnote w:type="continuationSeparator" w:id="0">
    <w:p w:rsidR="00860882" w:rsidRDefault="00860882" w:rsidP="0089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82" w:rsidRDefault="00860882" w:rsidP="00894DDC">
      <w:pPr>
        <w:spacing w:after="0" w:line="240" w:lineRule="auto"/>
      </w:pPr>
      <w:r>
        <w:separator/>
      </w:r>
    </w:p>
  </w:footnote>
  <w:footnote w:type="continuationSeparator" w:id="0">
    <w:p w:rsidR="00860882" w:rsidRDefault="00860882" w:rsidP="0089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2081"/>
    <w:multiLevelType w:val="hybridMultilevel"/>
    <w:tmpl w:val="34843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5D"/>
    <w:rsid w:val="00007A85"/>
    <w:rsid w:val="00010EBF"/>
    <w:rsid w:val="000152E4"/>
    <w:rsid w:val="000165CF"/>
    <w:rsid w:val="000213ED"/>
    <w:rsid w:val="00021F86"/>
    <w:rsid w:val="00040B0E"/>
    <w:rsid w:val="00052C9F"/>
    <w:rsid w:val="00062E8A"/>
    <w:rsid w:val="00066D54"/>
    <w:rsid w:val="00072BAC"/>
    <w:rsid w:val="000824ED"/>
    <w:rsid w:val="000860A8"/>
    <w:rsid w:val="00092850"/>
    <w:rsid w:val="00093444"/>
    <w:rsid w:val="00095830"/>
    <w:rsid w:val="00097DB0"/>
    <w:rsid w:val="000B31E6"/>
    <w:rsid w:val="000F102E"/>
    <w:rsid w:val="000F3036"/>
    <w:rsid w:val="000F3054"/>
    <w:rsid w:val="00111BE2"/>
    <w:rsid w:val="00115CA3"/>
    <w:rsid w:val="001355D4"/>
    <w:rsid w:val="00144E16"/>
    <w:rsid w:val="00150C63"/>
    <w:rsid w:val="0015606F"/>
    <w:rsid w:val="001629C7"/>
    <w:rsid w:val="00165F10"/>
    <w:rsid w:val="001721F6"/>
    <w:rsid w:val="001776A8"/>
    <w:rsid w:val="00186DBE"/>
    <w:rsid w:val="00191262"/>
    <w:rsid w:val="001A54CF"/>
    <w:rsid w:val="001B150A"/>
    <w:rsid w:val="001B363D"/>
    <w:rsid w:val="001B6A65"/>
    <w:rsid w:val="001C04DA"/>
    <w:rsid w:val="001C0B24"/>
    <w:rsid w:val="001C40F0"/>
    <w:rsid w:val="001D184E"/>
    <w:rsid w:val="001D2647"/>
    <w:rsid w:val="001E2F63"/>
    <w:rsid w:val="001E6446"/>
    <w:rsid w:val="001E6F12"/>
    <w:rsid w:val="001E7304"/>
    <w:rsid w:val="001F68E7"/>
    <w:rsid w:val="001F7EB7"/>
    <w:rsid w:val="00214DEA"/>
    <w:rsid w:val="00230423"/>
    <w:rsid w:val="00247CC3"/>
    <w:rsid w:val="002510CD"/>
    <w:rsid w:val="00253127"/>
    <w:rsid w:val="00256CBC"/>
    <w:rsid w:val="002614A5"/>
    <w:rsid w:val="002638D6"/>
    <w:rsid w:val="00264342"/>
    <w:rsid w:val="00265758"/>
    <w:rsid w:val="0026747E"/>
    <w:rsid w:val="00270E8B"/>
    <w:rsid w:val="00284F3B"/>
    <w:rsid w:val="002964E5"/>
    <w:rsid w:val="002A1ECF"/>
    <w:rsid w:val="002B5D7A"/>
    <w:rsid w:val="002B6349"/>
    <w:rsid w:val="002C3EEF"/>
    <w:rsid w:val="002D0CFF"/>
    <w:rsid w:val="002E00DF"/>
    <w:rsid w:val="002E17C5"/>
    <w:rsid w:val="002E19EA"/>
    <w:rsid w:val="003055FA"/>
    <w:rsid w:val="003125C9"/>
    <w:rsid w:val="00313DA7"/>
    <w:rsid w:val="003228A3"/>
    <w:rsid w:val="003230A5"/>
    <w:rsid w:val="00344CBB"/>
    <w:rsid w:val="00351F4F"/>
    <w:rsid w:val="0035274A"/>
    <w:rsid w:val="00370A5C"/>
    <w:rsid w:val="0037101B"/>
    <w:rsid w:val="00387EBF"/>
    <w:rsid w:val="00391A35"/>
    <w:rsid w:val="003A2887"/>
    <w:rsid w:val="003B455F"/>
    <w:rsid w:val="003D2FAD"/>
    <w:rsid w:val="003D57DF"/>
    <w:rsid w:val="003E793B"/>
    <w:rsid w:val="003F7CFC"/>
    <w:rsid w:val="00406407"/>
    <w:rsid w:val="004109F9"/>
    <w:rsid w:val="00416270"/>
    <w:rsid w:val="00416A6A"/>
    <w:rsid w:val="00423FAD"/>
    <w:rsid w:val="004477E1"/>
    <w:rsid w:val="00465335"/>
    <w:rsid w:val="0047305C"/>
    <w:rsid w:val="004845A7"/>
    <w:rsid w:val="00486B5E"/>
    <w:rsid w:val="00487670"/>
    <w:rsid w:val="004B1BA5"/>
    <w:rsid w:val="004C267D"/>
    <w:rsid w:val="004C4326"/>
    <w:rsid w:val="004F09BE"/>
    <w:rsid w:val="004F35F2"/>
    <w:rsid w:val="004F3D00"/>
    <w:rsid w:val="004F70D2"/>
    <w:rsid w:val="004F79DE"/>
    <w:rsid w:val="0050271D"/>
    <w:rsid w:val="00520871"/>
    <w:rsid w:val="0052128E"/>
    <w:rsid w:val="00524701"/>
    <w:rsid w:val="005273AD"/>
    <w:rsid w:val="00531CC2"/>
    <w:rsid w:val="005416FC"/>
    <w:rsid w:val="00544595"/>
    <w:rsid w:val="00551502"/>
    <w:rsid w:val="00554148"/>
    <w:rsid w:val="005658D1"/>
    <w:rsid w:val="00566BA2"/>
    <w:rsid w:val="0057365D"/>
    <w:rsid w:val="005946AA"/>
    <w:rsid w:val="0059617A"/>
    <w:rsid w:val="005A22BD"/>
    <w:rsid w:val="005C10AE"/>
    <w:rsid w:val="005C5FE6"/>
    <w:rsid w:val="005E3BA1"/>
    <w:rsid w:val="005F2996"/>
    <w:rsid w:val="005F618A"/>
    <w:rsid w:val="006008D4"/>
    <w:rsid w:val="00605037"/>
    <w:rsid w:val="00612AF3"/>
    <w:rsid w:val="00626C51"/>
    <w:rsid w:val="006311DF"/>
    <w:rsid w:val="00640687"/>
    <w:rsid w:val="00643916"/>
    <w:rsid w:val="00651AFA"/>
    <w:rsid w:val="006540EF"/>
    <w:rsid w:val="00673DC3"/>
    <w:rsid w:val="006806E9"/>
    <w:rsid w:val="0069605C"/>
    <w:rsid w:val="006A1C3B"/>
    <w:rsid w:val="006A4241"/>
    <w:rsid w:val="006A7B85"/>
    <w:rsid w:val="006A7E90"/>
    <w:rsid w:val="006C1DBF"/>
    <w:rsid w:val="006C3648"/>
    <w:rsid w:val="006D2CF0"/>
    <w:rsid w:val="006D54A1"/>
    <w:rsid w:val="006D6406"/>
    <w:rsid w:val="006E2E60"/>
    <w:rsid w:val="006E63BF"/>
    <w:rsid w:val="006F4F5D"/>
    <w:rsid w:val="006F608A"/>
    <w:rsid w:val="00701006"/>
    <w:rsid w:val="0074159D"/>
    <w:rsid w:val="0075156D"/>
    <w:rsid w:val="007575B7"/>
    <w:rsid w:val="0077330E"/>
    <w:rsid w:val="00773906"/>
    <w:rsid w:val="00777EC3"/>
    <w:rsid w:val="007810DB"/>
    <w:rsid w:val="00786CEC"/>
    <w:rsid w:val="007923B1"/>
    <w:rsid w:val="0079378F"/>
    <w:rsid w:val="007A0A5C"/>
    <w:rsid w:val="007A0B89"/>
    <w:rsid w:val="007C1F1B"/>
    <w:rsid w:val="007C7D31"/>
    <w:rsid w:val="007D5BF6"/>
    <w:rsid w:val="007D760F"/>
    <w:rsid w:val="007D767E"/>
    <w:rsid w:val="007E2341"/>
    <w:rsid w:val="007E2651"/>
    <w:rsid w:val="007E36A6"/>
    <w:rsid w:val="00802F4F"/>
    <w:rsid w:val="0081485D"/>
    <w:rsid w:val="00840FB0"/>
    <w:rsid w:val="00840FF0"/>
    <w:rsid w:val="00845CBC"/>
    <w:rsid w:val="00850756"/>
    <w:rsid w:val="008528D8"/>
    <w:rsid w:val="00860882"/>
    <w:rsid w:val="00894DDC"/>
    <w:rsid w:val="008A2B5A"/>
    <w:rsid w:val="008A3C2C"/>
    <w:rsid w:val="008A6D0B"/>
    <w:rsid w:val="008A7ABD"/>
    <w:rsid w:val="008C0400"/>
    <w:rsid w:val="00900B6D"/>
    <w:rsid w:val="009012B8"/>
    <w:rsid w:val="00922ED6"/>
    <w:rsid w:val="00931ACA"/>
    <w:rsid w:val="00936157"/>
    <w:rsid w:val="00953E08"/>
    <w:rsid w:val="00962382"/>
    <w:rsid w:val="009626D6"/>
    <w:rsid w:val="00962C9F"/>
    <w:rsid w:val="0098281C"/>
    <w:rsid w:val="0098499C"/>
    <w:rsid w:val="00995D73"/>
    <w:rsid w:val="00995FF9"/>
    <w:rsid w:val="00996888"/>
    <w:rsid w:val="009A559F"/>
    <w:rsid w:val="009A5C74"/>
    <w:rsid w:val="009A74B1"/>
    <w:rsid w:val="009B53E1"/>
    <w:rsid w:val="009C1A0F"/>
    <w:rsid w:val="009C6274"/>
    <w:rsid w:val="009D03F0"/>
    <w:rsid w:val="009E1DD2"/>
    <w:rsid w:val="00A13602"/>
    <w:rsid w:val="00A1513F"/>
    <w:rsid w:val="00A225B4"/>
    <w:rsid w:val="00A371EE"/>
    <w:rsid w:val="00A42482"/>
    <w:rsid w:val="00A425B9"/>
    <w:rsid w:val="00A42673"/>
    <w:rsid w:val="00A504A7"/>
    <w:rsid w:val="00A6311D"/>
    <w:rsid w:val="00A63E6E"/>
    <w:rsid w:val="00A644FE"/>
    <w:rsid w:val="00A65CEF"/>
    <w:rsid w:val="00A70DE9"/>
    <w:rsid w:val="00A72E23"/>
    <w:rsid w:val="00A755EE"/>
    <w:rsid w:val="00A86FBE"/>
    <w:rsid w:val="00A96606"/>
    <w:rsid w:val="00AA41A0"/>
    <w:rsid w:val="00AD378B"/>
    <w:rsid w:val="00AE1A6A"/>
    <w:rsid w:val="00AF1B93"/>
    <w:rsid w:val="00B06435"/>
    <w:rsid w:val="00B576BE"/>
    <w:rsid w:val="00B63DE0"/>
    <w:rsid w:val="00B650DF"/>
    <w:rsid w:val="00B71EE7"/>
    <w:rsid w:val="00B80B59"/>
    <w:rsid w:val="00BA6CD4"/>
    <w:rsid w:val="00BB25D1"/>
    <w:rsid w:val="00BB2807"/>
    <w:rsid w:val="00BD3FC7"/>
    <w:rsid w:val="00BE10FE"/>
    <w:rsid w:val="00BE258C"/>
    <w:rsid w:val="00BE4F88"/>
    <w:rsid w:val="00BE5915"/>
    <w:rsid w:val="00C45ED9"/>
    <w:rsid w:val="00C568C6"/>
    <w:rsid w:val="00C615E8"/>
    <w:rsid w:val="00C65DE8"/>
    <w:rsid w:val="00C93CFF"/>
    <w:rsid w:val="00CA1205"/>
    <w:rsid w:val="00CB29B7"/>
    <w:rsid w:val="00CC02C0"/>
    <w:rsid w:val="00CC4361"/>
    <w:rsid w:val="00CD697A"/>
    <w:rsid w:val="00D05C54"/>
    <w:rsid w:val="00D063F2"/>
    <w:rsid w:val="00D069AA"/>
    <w:rsid w:val="00D10897"/>
    <w:rsid w:val="00D10F9D"/>
    <w:rsid w:val="00D41D7D"/>
    <w:rsid w:val="00D513B5"/>
    <w:rsid w:val="00D64785"/>
    <w:rsid w:val="00D67F7C"/>
    <w:rsid w:val="00D7105B"/>
    <w:rsid w:val="00D712D6"/>
    <w:rsid w:val="00D838A0"/>
    <w:rsid w:val="00D83D35"/>
    <w:rsid w:val="00D87DFD"/>
    <w:rsid w:val="00DA3880"/>
    <w:rsid w:val="00DB4418"/>
    <w:rsid w:val="00DD0654"/>
    <w:rsid w:val="00DE4315"/>
    <w:rsid w:val="00DE4C3F"/>
    <w:rsid w:val="00DF6625"/>
    <w:rsid w:val="00E0116D"/>
    <w:rsid w:val="00E04BB5"/>
    <w:rsid w:val="00E223BC"/>
    <w:rsid w:val="00E23635"/>
    <w:rsid w:val="00E25766"/>
    <w:rsid w:val="00E30D96"/>
    <w:rsid w:val="00E54D52"/>
    <w:rsid w:val="00E74E23"/>
    <w:rsid w:val="00E80F81"/>
    <w:rsid w:val="00E82185"/>
    <w:rsid w:val="00E854AB"/>
    <w:rsid w:val="00E91A59"/>
    <w:rsid w:val="00E961DA"/>
    <w:rsid w:val="00EA340F"/>
    <w:rsid w:val="00EC4168"/>
    <w:rsid w:val="00ED1D1D"/>
    <w:rsid w:val="00ED306F"/>
    <w:rsid w:val="00ED48B0"/>
    <w:rsid w:val="00ED595C"/>
    <w:rsid w:val="00ED6E2E"/>
    <w:rsid w:val="00EE36B2"/>
    <w:rsid w:val="00F03012"/>
    <w:rsid w:val="00F112F6"/>
    <w:rsid w:val="00F13109"/>
    <w:rsid w:val="00F239CE"/>
    <w:rsid w:val="00F2550B"/>
    <w:rsid w:val="00F26AF5"/>
    <w:rsid w:val="00F40D3B"/>
    <w:rsid w:val="00F652AE"/>
    <w:rsid w:val="00F67374"/>
    <w:rsid w:val="00F75031"/>
    <w:rsid w:val="00F8052B"/>
    <w:rsid w:val="00F9305F"/>
    <w:rsid w:val="00F95535"/>
    <w:rsid w:val="00FB39A5"/>
    <w:rsid w:val="00FB41EF"/>
    <w:rsid w:val="00FB6AFB"/>
    <w:rsid w:val="00FC0BC0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8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48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125C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4D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DD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4DD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3E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3E6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3E6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2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9C7"/>
    <w:rPr>
      <w:b/>
      <w:bCs/>
    </w:rPr>
  </w:style>
  <w:style w:type="paragraph" w:styleId="Akapitzlist">
    <w:name w:val="List Paragraph"/>
    <w:basedOn w:val="Normalny"/>
    <w:uiPriority w:val="34"/>
    <w:qFormat/>
    <w:rsid w:val="00D108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85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148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125C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4D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DD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4DD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3E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3E6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3E6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2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9C7"/>
    <w:rPr>
      <w:b/>
      <w:bCs/>
    </w:rPr>
  </w:style>
  <w:style w:type="paragraph" w:styleId="Akapitzlist">
    <w:name w:val="List Paragraph"/>
    <w:basedOn w:val="Normalny"/>
    <w:uiPriority w:val="34"/>
    <w:qFormat/>
    <w:rsid w:val="00D108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uscr.org/sites/default/files/TWS%202020_Executive%20Summary_8May2020_Final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azi.diplopedia@msz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.wm@mf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icja.krzyzanowska@mpit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DHM@mp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DA01-70EA-4EFC-9427-2BC09668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Links>
    <vt:vector size="18" baseType="variant">
      <vt:variant>
        <vt:i4>5177366</vt:i4>
      </vt:variant>
      <vt:variant>
        <vt:i4>6</vt:i4>
      </vt:variant>
      <vt:variant>
        <vt:i4>0</vt:i4>
      </vt:variant>
      <vt:variant>
        <vt:i4>5</vt:i4>
      </vt:variant>
      <vt:variant>
        <vt:lpwstr>https://www.fda.gov/news-events/press-announcements/coronavirus-covid-19-supply-chain-update</vt:lpwstr>
      </vt:variant>
      <vt:variant>
        <vt:lpwstr/>
      </vt:variant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>https://www.dol.gov/sites/dolgov/files/OPA/newsreleases/ui-claims/20200774.pdf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https://www.washingtonpost.com/business/2020/05/08/april-2020-jobs-report/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Gucio</dc:creator>
  <cp:lastModifiedBy>MG</cp:lastModifiedBy>
  <cp:revision>2</cp:revision>
  <dcterms:created xsi:type="dcterms:W3CDTF">2020-05-13T00:08:00Z</dcterms:created>
  <dcterms:modified xsi:type="dcterms:W3CDTF">2020-05-13T00:08:00Z</dcterms:modified>
</cp:coreProperties>
</file>