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789" w:rsidRDefault="00F22789" w:rsidP="00065823">
      <w:pPr>
        <w:rPr>
          <w:rFonts w:eastAsia="Calibri" w:cs="Tahoma"/>
          <w:lang w:eastAsia="en-US"/>
        </w:rPr>
      </w:pPr>
      <w:r w:rsidRPr="00071A56">
        <w:rPr>
          <w:rFonts w:eastAsia="Times New Roman" w:cs="Tahoma"/>
          <w:lang w:eastAsia="en-US"/>
        </w:rPr>
        <w:t>CLARIS</w:t>
      </w:r>
      <w:r w:rsidRPr="00071A56">
        <w:rPr>
          <w:rFonts w:eastAsia="Times New Roman" w:cs="Tahoma"/>
          <w:lang w:eastAsia="en-US"/>
        </w:rPr>
        <w:tab/>
      </w:r>
      <w:r w:rsidR="00065823" w:rsidRPr="00071A56">
        <w:rPr>
          <w:rFonts w:eastAsia="Times New Roman" w:cs="Tahoma"/>
          <w:lang w:eastAsia="en-US"/>
        </w:rPr>
        <w:t>WASZ.2233.</w:t>
      </w:r>
      <w:r w:rsidR="00735E83">
        <w:rPr>
          <w:rFonts w:eastAsia="Times New Roman" w:cs="Tahoma"/>
          <w:lang w:eastAsia="en-US"/>
        </w:rPr>
        <w:t>130</w:t>
      </w:r>
      <w:r w:rsidR="00065823" w:rsidRPr="00071A56">
        <w:rPr>
          <w:rFonts w:eastAsia="Times New Roman" w:cs="Tahoma"/>
          <w:lang w:eastAsia="en-US"/>
        </w:rPr>
        <w:t>.20</w:t>
      </w:r>
      <w:r w:rsidR="00065823">
        <w:rPr>
          <w:rFonts w:eastAsia="Times New Roman" w:cs="Tahoma"/>
          <w:lang w:eastAsia="en-US"/>
        </w:rPr>
        <w:t>20</w:t>
      </w:r>
      <w:r w:rsidR="00065823">
        <w:rPr>
          <w:rFonts w:eastAsia="Times New Roman" w:cs="Tahoma"/>
          <w:lang w:eastAsia="en-US"/>
        </w:rPr>
        <w:tab/>
      </w:r>
      <w:r>
        <w:rPr>
          <w:rFonts w:eastAsia="Times New Roman" w:cs="Tahoma"/>
          <w:lang w:eastAsia="en-US"/>
        </w:rPr>
        <w:tab/>
      </w:r>
      <w:r w:rsidRPr="00071A56">
        <w:rPr>
          <w:rFonts w:eastAsia="Times New Roman" w:cs="Tahoma"/>
          <w:lang w:eastAsia="en-US"/>
        </w:rPr>
        <w:t>Ambasada RP w Waszyngtonie</w:t>
      </w:r>
      <w:r>
        <w:rPr>
          <w:rFonts w:eastAsia="Times New Roman" w:cs="Tahoma"/>
          <w:lang w:eastAsia="en-US"/>
        </w:rPr>
        <w:tab/>
      </w:r>
      <w:proofErr w:type="gramStart"/>
      <w:r w:rsidRPr="00071A56">
        <w:rPr>
          <w:rFonts w:eastAsia="Times New Roman" w:cs="Tahoma"/>
          <w:b/>
          <w:lang w:eastAsia="en-US"/>
        </w:rPr>
        <w:tab/>
      </w:r>
      <w:r w:rsidRPr="00071A56">
        <w:rPr>
          <w:rFonts w:eastAsia="Calibri" w:cs="Tahoma"/>
          <w:lang w:eastAsia="en-US"/>
        </w:rPr>
        <w:t xml:space="preserve">  D</w:t>
      </w:r>
      <w:proofErr w:type="gramEnd"/>
      <w:r w:rsidRPr="00071A56">
        <w:rPr>
          <w:rFonts w:eastAsia="Calibri" w:cs="Tahoma"/>
          <w:lang w:eastAsia="en-US"/>
        </w:rPr>
        <w:t xml:space="preserve">: </w:t>
      </w:r>
      <w:r w:rsidR="009F64A0">
        <w:rPr>
          <w:rFonts w:eastAsia="Calibri" w:cs="Tahoma"/>
          <w:lang w:eastAsia="en-US"/>
        </w:rPr>
        <w:t>1</w:t>
      </w:r>
      <w:r w:rsidR="00C21699">
        <w:rPr>
          <w:rFonts w:eastAsia="Calibri" w:cs="Tahoma"/>
          <w:lang w:eastAsia="en-US"/>
        </w:rPr>
        <w:t>7</w:t>
      </w:r>
      <w:r w:rsidRPr="00071A56">
        <w:rPr>
          <w:rFonts w:eastAsia="Calibri" w:cs="Tahoma"/>
          <w:lang w:eastAsia="en-US"/>
        </w:rPr>
        <w:t>.</w:t>
      </w:r>
      <w:r>
        <w:rPr>
          <w:rFonts w:eastAsia="Calibri" w:cs="Tahoma"/>
          <w:lang w:eastAsia="en-US"/>
        </w:rPr>
        <w:t>0</w:t>
      </w:r>
      <w:r w:rsidR="009F64A0">
        <w:rPr>
          <w:rFonts w:eastAsia="Calibri" w:cs="Tahoma"/>
          <w:lang w:eastAsia="en-US"/>
        </w:rPr>
        <w:t>4</w:t>
      </w:r>
      <w:r w:rsidRPr="00071A56">
        <w:rPr>
          <w:rFonts w:eastAsia="Calibri" w:cs="Tahoma"/>
          <w:lang w:eastAsia="en-US"/>
        </w:rPr>
        <w:t>.20</w:t>
      </w:r>
      <w:r>
        <w:rPr>
          <w:rFonts w:eastAsia="Calibri" w:cs="Tahoma"/>
          <w:lang w:eastAsia="en-US"/>
        </w:rPr>
        <w:t>20</w:t>
      </w:r>
    </w:p>
    <w:p w:rsidR="00F22789" w:rsidRPr="00071A56" w:rsidRDefault="00F22789" w:rsidP="00F22789">
      <w:pPr>
        <w:spacing w:after="0" w:line="240" w:lineRule="auto"/>
        <w:jc w:val="both"/>
        <w:rPr>
          <w:lang w:eastAsia="en-US"/>
        </w:rPr>
        <w:sectPr w:rsidR="00F22789" w:rsidRPr="00071A56" w:rsidSect="00065823">
          <w:pgSz w:w="12240" w:h="15840" w:code="1"/>
          <w:pgMar w:top="851" w:right="1418" w:bottom="1276" w:left="1418" w:header="709" w:footer="709" w:gutter="0"/>
          <w:cols w:space="708"/>
          <w:docGrid w:linePitch="360"/>
        </w:sectPr>
      </w:pPr>
      <w:r w:rsidRPr="00071A56">
        <w:rPr>
          <w:bCs/>
          <w:u w:val="single"/>
          <w:lang w:eastAsia="en-US"/>
        </w:rPr>
        <w:t>Otrzymują:</w:t>
      </w:r>
    </w:p>
    <w:p w:rsidR="00F22789" w:rsidRDefault="00F22789" w:rsidP="00F22789">
      <w:p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MSZ – MIN. JABŁOŃSKI</w:t>
      </w:r>
    </w:p>
    <w:p w:rsidR="00F22789" w:rsidRDefault="00F22789" w:rsidP="00F22789">
      <w:pPr>
        <w:spacing w:after="0" w:line="240" w:lineRule="auto"/>
        <w:jc w:val="both"/>
        <w:rPr>
          <w:lang w:eastAsia="en-US"/>
        </w:rPr>
      </w:pPr>
      <w:r w:rsidRPr="00402E72">
        <w:rPr>
          <w:lang w:eastAsia="en-US"/>
        </w:rPr>
        <w:t xml:space="preserve">MSZ – MIN. </w:t>
      </w:r>
      <w:r w:rsidRPr="00D042EB">
        <w:rPr>
          <w:lang w:eastAsia="en-US"/>
        </w:rPr>
        <w:t>LANG</w:t>
      </w:r>
    </w:p>
    <w:p w:rsidR="00F22789" w:rsidRPr="00D042EB" w:rsidRDefault="00F22789" w:rsidP="00F22789">
      <w:p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MSZ – MIN. WAWRZYK</w:t>
      </w:r>
    </w:p>
    <w:p w:rsidR="00F22789" w:rsidRPr="00D042EB" w:rsidRDefault="00F22789" w:rsidP="00F22789">
      <w:pPr>
        <w:spacing w:after="0" w:line="240" w:lineRule="auto"/>
        <w:jc w:val="both"/>
        <w:rPr>
          <w:lang w:eastAsia="en-US"/>
        </w:rPr>
      </w:pPr>
      <w:r w:rsidRPr="00D042EB">
        <w:rPr>
          <w:lang w:eastAsia="en-US"/>
        </w:rPr>
        <w:t>MSZ SM – PERL</w:t>
      </w:r>
    </w:p>
    <w:p w:rsidR="00F22789" w:rsidRPr="00E66E46" w:rsidRDefault="00F22789" w:rsidP="00F22789">
      <w:pPr>
        <w:spacing w:after="0" w:line="240" w:lineRule="auto"/>
        <w:jc w:val="both"/>
        <w:rPr>
          <w:rFonts w:cs="Calibri"/>
          <w:lang w:eastAsia="en-US"/>
        </w:rPr>
      </w:pPr>
      <w:r w:rsidRPr="00E66E46">
        <w:rPr>
          <w:rFonts w:cs="Calibri"/>
          <w:lang w:eastAsia="en-US"/>
        </w:rPr>
        <w:t xml:space="preserve">MSZ </w:t>
      </w:r>
      <w:proofErr w:type="spellStart"/>
      <w:r w:rsidRPr="00E66E46">
        <w:rPr>
          <w:rFonts w:cs="Calibri"/>
          <w:lang w:eastAsia="en-US"/>
        </w:rPr>
        <w:t>DNZiPC</w:t>
      </w:r>
      <w:proofErr w:type="spellEnd"/>
      <w:r w:rsidRPr="00E66E46">
        <w:rPr>
          <w:rFonts w:cs="Calibri"/>
          <w:lang w:eastAsia="en-US"/>
        </w:rPr>
        <w:t xml:space="preserve"> – BAURSKI</w:t>
      </w:r>
    </w:p>
    <w:p w:rsidR="00F22789" w:rsidRPr="00D042EB" w:rsidRDefault="00F22789" w:rsidP="00F22789">
      <w:pPr>
        <w:spacing w:after="0" w:line="240" w:lineRule="auto"/>
        <w:jc w:val="both"/>
        <w:rPr>
          <w:lang w:eastAsia="en-US"/>
        </w:rPr>
      </w:pPr>
      <w:r w:rsidRPr="00D042EB">
        <w:rPr>
          <w:lang w:eastAsia="en-US"/>
        </w:rPr>
        <w:t xml:space="preserve">MSZ </w:t>
      </w:r>
      <w:proofErr w:type="spellStart"/>
      <w:r w:rsidRPr="00D042EB">
        <w:rPr>
          <w:lang w:eastAsia="en-US"/>
        </w:rPr>
        <w:t>DAiBW</w:t>
      </w:r>
      <w:proofErr w:type="spellEnd"/>
      <w:r w:rsidRPr="00D042EB">
        <w:rPr>
          <w:lang w:eastAsia="en-US"/>
        </w:rPr>
        <w:t xml:space="preserve"> – BOBAK</w:t>
      </w:r>
    </w:p>
    <w:p w:rsidR="00F22789" w:rsidRPr="00D042EB" w:rsidRDefault="00F22789" w:rsidP="00F22789">
      <w:pPr>
        <w:spacing w:after="0" w:line="240" w:lineRule="auto"/>
        <w:jc w:val="both"/>
        <w:rPr>
          <w:rFonts w:cs="Calibri"/>
          <w:lang w:eastAsia="en-US"/>
        </w:rPr>
      </w:pPr>
      <w:r w:rsidRPr="00D042EB">
        <w:rPr>
          <w:rFonts w:cs="Calibri"/>
          <w:lang w:eastAsia="en-US"/>
        </w:rPr>
        <w:t>MSZ DPB – BUGAJSKI</w:t>
      </w:r>
    </w:p>
    <w:p w:rsidR="00F22789" w:rsidRDefault="00F22789" w:rsidP="00F22789">
      <w:p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MSZ DPT – MARCINIAK</w:t>
      </w:r>
    </w:p>
    <w:p w:rsidR="00F22789" w:rsidRPr="00071A56" w:rsidRDefault="00F22789" w:rsidP="00F22789">
      <w:pPr>
        <w:spacing w:after="0" w:line="240" w:lineRule="auto"/>
        <w:jc w:val="both"/>
        <w:rPr>
          <w:lang w:eastAsia="en-US"/>
        </w:rPr>
      </w:pPr>
      <w:r w:rsidRPr="00071A56">
        <w:rPr>
          <w:lang w:eastAsia="en-US"/>
        </w:rPr>
        <w:t>MSZ DA – PERL</w:t>
      </w:r>
    </w:p>
    <w:p w:rsidR="00F22789" w:rsidRDefault="00F22789" w:rsidP="00F2278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MSZ </w:t>
      </w:r>
      <w:proofErr w:type="spellStart"/>
      <w:r>
        <w:rPr>
          <w:rFonts w:cs="Calibri"/>
        </w:rPr>
        <w:t>DAiP</w:t>
      </w:r>
      <w:proofErr w:type="spellEnd"/>
      <w:r>
        <w:rPr>
          <w:rFonts w:cs="Calibri"/>
        </w:rPr>
        <w:t xml:space="preserve"> – SOBKÓW</w:t>
      </w:r>
    </w:p>
    <w:p w:rsidR="00B26996" w:rsidRDefault="00B26996" w:rsidP="00F2278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MSZ DSPZ</w:t>
      </w:r>
      <w:r w:rsidR="00650F34">
        <w:rPr>
          <w:rFonts w:cs="Calibri"/>
        </w:rPr>
        <w:t xml:space="preserve"> </w:t>
      </w:r>
      <w:r w:rsidR="00CA0D85">
        <w:rPr>
          <w:rFonts w:cs="Calibri"/>
        </w:rPr>
        <w:t>–</w:t>
      </w:r>
      <w:r w:rsidR="00650F34">
        <w:rPr>
          <w:rFonts w:cs="Calibri"/>
        </w:rPr>
        <w:t xml:space="preserve"> PISARSKI</w:t>
      </w:r>
    </w:p>
    <w:p w:rsidR="00CA0D85" w:rsidRDefault="00CA0D85" w:rsidP="00F2278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MSZ DWE – PONIKIEWSKI </w:t>
      </w:r>
    </w:p>
    <w:p w:rsidR="00F22789" w:rsidRDefault="00F22789" w:rsidP="00F22789">
      <w:pPr>
        <w:spacing w:after="0" w:line="240" w:lineRule="auto"/>
        <w:jc w:val="both"/>
        <w:rPr>
          <w:rFonts w:cs="Calibri"/>
        </w:rPr>
      </w:pPr>
      <w:r w:rsidRPr="00E66E46">
        <w:rPr>
          <w:rFonts w:cs="Calibri"/>
        </w:rPr>
        <w:t>MSZ BDP – STADEJEK</w:t>
      </w:r>
    </w:p>
    <w:p w:rsidR="00F22789" w:rsidRDefault="00F22789" w:rsidP="00F22789">
      <w:pPr>
        <w:spacing w:after="0" w:line="240" w:lineRule="auto"/>
        <w:jc w:val="both"/>
        <w:rPr>
          <w:rFonts w:eastAsia="Calibri" w:cs="Calibri"/>
          <w:caps/>
          <w:lang w:eastAsia="en-US"/>
        </w:rPr>
      </w:pPr>
      <w:r>
        <w:rPr>
          <w:rFonts w:eastAsia="Calibri" w:cs="Calibri"/>
          <w:caps/>
          <w:lang w:eastAsia="en-US"/>
        </w:rPr>
        <w:t>PEKIN – ZAJĄCZKOWSKI</w:t>
      </w:r>
    </w:p>
    <w:p w:rsidR="00F22789" w:rsidRPr="00E66E46" w:rsidRDefault="00F22789" w:rsidP="00F22789">
      <w:pPr>
        <w:spacing w:after="0" w:line="240" w:lineRule="auto"/>
        <w:jc w:val="both"/>
        <w:rPr>
          <w:rFonts w:cs="Calibri"/>
        </w:rPr>
      </w:pPr>
      <w:r w:rsidRPr="0035226E">
        <w:rPr>
          <w:sz w:val="23"/>
          <w:szCs w:val="23"/>
          <w:lang w:eastAsia="en-US"/>
        </w:rPr>
        <w:t>TEHERAN – FAŁKOWSKI</w:t>
      </w:r>
    </w:p>
    <w:p w:rsidR="00F22789" w:rsidRPr="00E66E46" w:rsidRDefault="00F22789" w:rsidP="00F22789">
      <w:pPr>
        <w:spacing w:after="0" w:line="240" w:lineRule="auto"/>
        <w:jc w:val="both"/>
        <w:rPr>
          <w:rFonts w:eastAsia="Calibri" w:cs="Calibri"/>
          <w:caps/>
          <w:lang w:eastAsia="en-US"/>
        </w:rPr>
      </w:pPr>
      <w:r w:rsidRPr="00E66E46">
        <w:rPr>
          <w:rFonts w:eastAsia="Calibri" w:cs="Calibri"/>
          <w:caps/>
          <w:lang w:eastAsia="en-US"/>
        </w:rPr>
        <w:t>KPRP BSZ – Dzielski</w:t>
      </w:r>
    </w:p>
    <w:p w:rsidR="00F22789" w:rsidRPr="00E66E46" w:rsidRDefault="00F22789" w:rsidP="00F22789">
      <w:pPr>
        <w:spacing w:after="0" w:line="240" w:lineRule="auto"/>
        <w:jc w:val="both"/>
        <w:rPr>
          <w:rFonts w:eastAsia="Calibri" w:cs="Calibri"/>
          <w:caps/>
          <w:lang w:eastAsia="en-US"/>
        </w:rPr>
      </w:pPr>
      <w:r w:rsidRPr="00E66E46">
        <w:rPr>
          <w:rFonts w:eastAsia="Calibri" w:cs="Calibri"/>
          <w:caps/>
          <w:lang w:eastAsia="en-US"/>
        </w:rPr>
        <w:t>KPRM DSZ – Korowajczyk</w:t>
      </w:r>
    </w:p>
    <w:p w:rsidR="00F22789" w:rsidRPr="001C196B" w:rsidRDefault="00F22789" w:rsidP="00F22789">
      <w:pPr>
        <w:spacing w:after="0" w:line="240" w:lineRule="auto"/>
        <w:jc w:val="both"/>
        <w:rPr>
          <w:lang w:eastAsia="en-US"/>
        </w:rPr>
      </w:pPr>
      <w:r w:rsidRPr="001C196B">
        <w:rPr>
          <w:lang w:eastAsia="en-US"/>
        </w:rPr>
        <w:t>BRUKSELA (UE) – SADOŚ</w:t>
      </w:r>
    </w:p>
    <w:p w:rsidR="00F22789" w:rsidRPr="00F81A7B" w:rsidRDefault="00F22789" w:rsidP="00F22789">
      <w:pPr>
        <w:spacing w:after="0" w:line="240" w:lineRule="auto"/>
        <w:jc w:val="both"/>
        <w:rPr>
          <w:lang w:eastAsia="en-US"/>
        </w:rPr>
      </w:pPr>
      <w:r w:rsidRPr="00F81A7B">
        <w:rPr>
          <w:lang w:eastAsia="en-US"/>
        </w:rPr>
        <w:t>NOWY JORK (ONZ) – WRONECKA</w:t>
      </w:r>
    </w:p>
    <w:p w:rsidR="00F22789" w:rsidRPr="00F81A7B" w:rsidRDefault="00F22789" w:rsidP="00F22789">
      <w:pPr>
        <w:spacing w:after="0" w:line="240" w:lineRule="auto"/>
        <w:jc w:val="both"/>
        <w:rPr>
          <w:lang w:eastAsia="en-US"/>
        </w:rPr>
        <w:sectPr w:rsidR="00F22789" w:rsidRPr="00F81A7B" w:rsidSect="00626AAB">
          <w:footerReference w:type="default" r:id="rId8"/>
          <w:type w:val="continuous"/>
          <w:pgSz w:w="12240" w:h="15840" w:code="1"/>
          <w:pgMar w:top="1276" w:right="1418" w:bottom="1702" w:left="1418" w:header="709" w:footer="709" w:gutter="0"/>
          <w:cols w:num="2" w:space="708"/>
          <w:docGrid w:linePitch="360"/>
        </w:sectPr>
      </w:pPr>
    </w:p>
    <w:p w:rsidR="00F22789" w:rsidRPr="00F81A7B" w:rsidRDefault="00F22789" w:rsidP="00F22789">
      <w:pPr>
        <w:pBdr>
          <w:bottom w:val="single" w:sz="6" w:space="1" w:color="auto"/>
        </w:pBdr>
        <w:spacing w:after="240" w:line="240" w:lineRule="auto"/>
        <w:jc w:val="both"/>
        <w:rPr>
          <w:lang w:eastAsia="en-US"/>
        </w:rPr>
      </w:pPr>
    </w:p>
    <w:p w:rsidR="007036CA" w:rsidRDefault="00F22789" w:rsidP="00BA6288">
      <w:pPr>
        <w:autoSpaceDE w:val="0"/>
        <w:autoSpaceDN w:val="0"/>
        <w:adjustRightInd w:val="0"/>
        <w:spacing w:after="120" w:line="240" w:lineRule="auto"/>
        <w:ind w:left="708" w:hanging="708"/>
        <w:jc w:val="both"/>
        <w:rPr>
          <w:rFonts w:eastAsia="Calibri" w:cs="Tahoma"/>
          <w:b/>
          <w:lang w:eastAsia="en-US"/>
        </w:rPr>
      </w:pPr>
      <w:r w:rsidRPr="00071A56">
        <w:rPr>
          <w:rFonts w:eastAsia="Calibri" w:cs="Tahoma"/>
          <w:b/>
          <w:lang w:eastAsia="en-US"/>
        </w:rPr>
        <w:t>Dot.</w:t>
      </w:r>
      <w:r w:rsidR="005B4094">
        <w:rPr>
          <w:rFonts w:eastAsia="Calibri" w:cs="Tahoma"/>
          <w:b/>
          <w:lang w:eastAsia="en-US"/>
        </w:rPr>
        <w:t xml:space="preserve"> </w:t>
      </w:r>
      <w:r w:rsidR="00AB19EA" w:rsidRPr="00AB19EA">
        <w:rPr>
          <w:rFonts w:eastAsia="Calibri" w:cs="Tahoma"/>
          <w:b/>
          <w:lang w:eastAsia="en-US"/>
        </w:rPr>
        <w:t xml:space="preserve">Napięcia USA-Chiny </w:t>
      </w:r>
      <w:r w:rsidR="00C250C8">
        <w:rPr>
          <w:rFonts w:eastAsia="Calibri" w:cs="Tahoma"/>
          <w:b/>
          <w:lang w:eastAsia="en-US"/>
        </w:rPr>
        <w:t xml:space="preserve">w kontekście </w:t>
      </w:r>
      <w:r w:rsidR="00AB19EA" w:rsidRPr="00AB19EA">
        <w:rPr>
          <w:rFonts w:eastAsia="Calibri" w:cs="Tahoma"/>
          <w:b/>
          <w:lang w:eastAsia="en-US"/>
        </w:rPr>
        <w:t>COVID-19</w:t>
      </w:r>
      <w:r w:rsidR="00C250C8">
        <w:rPr>
          <w:rFonts w:eastAsia="Calibri" w:cs="Tahoma"/>
          <w:b/>
          <w:lang w:eastAsia="en-US"/>
        </w:rPr>
        <w:t xml:space="preserve"> – </w:t>
      </w:r>
      <w:r w:rsidR="003A5EA7">
        <w:rPr>
          <w:rFonts w:eastAsia="Calibri" w:cs="Tahoma"/>
          <w:b/>
          <w:lang w:eastAsia="en-US"/>
        </w:rPr>
        <w:t>ocena sytuacji</w:t>
      </w:r>
    </w:p>
    <w:p w:rsidR="00C250C8" w:rsidRDefault="00C250C8" w:rsidP="00AD037C">
      <w:pPr>
        <w:spacing w:after="120" w:line="240" w:lineRule="auto"/>
        <w:jc w:val="both"/>
        <w:rPr>
          <w:rFonts w:cs="Times New Roman"/>
        </w:rPr>
      </w:pPr>
      <w:r w:rsidRPr="00C250C8">
        <w:rPr>
          <w:rFonts w:cs="Times New Roman"/>
        </w:rPr>
        <w:t xml:space="preserve">Decyzja prezydenta </w:t>
      </w:r>
      <w:proofErr w:type="spellStart"/>
      <w:r w:rsidRPr="00C250C8">
        <w:rPr>
          <w:rFonts w:cs="Times New Roman"/>
        </w:rPr>
        <w:t>Trumpa</w:t>
      </w:r>
      <w:proofErr w:type="spellEnd"/>
      <w:r w:rsidRPr="00C250C8">
        <w:rPr>
          <w:rFonts w:cs="Times New Roman"/>
        </w:rPr>
        <w:t xml:space="preserve"> o wstrzymaniu amerykańskiego fin</w:t>
      </w:r>
      <w:r>
        <w:rPr>
          <w:rFonts w:cs="Times New Roman"/>
        </w:rPr>
        <w:t xml:space="preserve">ansowania dla Światowej Organizacji </w:t>
      </w:r>
      <w:r w:rsidRPr="00C250C8">
        <w:rPr>
          <w:rFonts w:cs="Times New Roman"/>
        </w:rPr>
        <w:t>Zdrowia (</w:t>
      </w:r>
      <w:r w:rsidRPr="00673F72">
        <w:rPr>
          <w:rFonts w:cs="Times New Roman"/>
          <w:b/>
        </w:rPr>
        <w:t>WHO</w:t>
      </w:r>
      <w:r w:rsidRPr="00C250C8">
        <w:rPr>
          <w:rFonts w:cs="Times New Roman"/>
        </w:rPr>
        <w:t>)</w:t>
      </w:r>
      <w:r>
        <w:rPr>
          <w:rFonts w:cs="Times New Roman"/>
        </w:rPr>
        <w:t xml:space="preserve"> jest </w:t>
      </w:r>
      <w:r w:rsidRPr="00673F72">
        <w:rPr>
          <w:rFonts w:cs="Times New Roman"/>
          <w:b/>
        </w:rPr>
        <w:t>kolejnym przejawem utrzymujących się napięć pomiędzy Waszyngtonem i P</w:t>
      </w:r>
      <w:r w:rsidR="00A84EDA" w:rsidRPr="00673F72">
        <w:rPr>
          <w:rFonts w:cs="Times New Roman"/>
          <w:b/>
        </w:rPr>
        <w:t xml:space="preserve">ekinem </w:t>
      </w:r>
      <w:r>
        <w:rPr>
          <w:rFonts w:cs="Times New Roman"/>
        </w:rPr>
        <w:t xml:space="preserve">na tle trwającej pandemii. WHO krytykowane było w ostatnich tygodniach przez stronę amerykańską nie tylko za błędy w zarządzaniu globalnym kryzysem zdrowotnym, ale także </w:t>
      </w:r>
      <w:r w:rsidRPr="00673F72">
        <w:rPr>
          <w:rFonts w:cs="Times New Roman"/>
          <w:b/>
        </w:rPr>
        <w:t>za uleganie wpływom Chin</w:t>
      </w:r>
      <w:r>
        <w:rPr>
          <w:rFonts w:cs="Times New Roman"/>
        </w:rPr>
        <w:t xml:space="preserve">, szczególnie w początkowym okresie pandemii. </w:t>
      </w:r>
      <w:r w:rsidR="005E0EA4">
        <w:rPr>
          <w:rFonts w:cs="Times New Roman"/>
        </w:rPr>
        <w:t xml:space="preserve">Decyzja </w:t>
      </w:r>
      <w:proofErr w:type="spellStart"/>
      <w:r w:rsidR="005E0EA4">
        <w:rPr>
          <w:rFonts w:cs="Times New Roman"/>
        </w:rPr>
        <w:t>ws</w:t>
      </w:r>
      <w:proofErr w:type="spellEnd"/>
      <w:r w:rsidR="005E0EA4">
        <w:rPr>
          <w:rFonts w:cs="Times New Roman"/>
        </w:rPr>
        <w:t xml:space="preserve">. WHO ma także silny kontekst wewnętrzny - przez wielu tut. komentatorów oraz Demokratów postrzegana jest jako </w:t>
      </w:r>
      <w:r w:rsidR="005E0EA4" w:rsidRPr="00673F72">
        <w:rPr>
          <w:rFonts w:cs="Times New Roman"/>
          <w:b/>
        </w:rPr>
        <w:t>próba przeniesienia odpowiedzialności za błędy popełnione przez samą administrację USA</w:t>
      </w:r>
      <w:r w:rsidR="00735E83" w:rsidRPr="00673F72">
        <w:rPr>
          <w:rFonts w:cs="Times New Roman"/>
          <w:b/>
        </w:rPr>
        <w:t xml:space="preserve"> </w:t>
      </w:r>
      <w:r w:rsidR="00735E83">
        <w:rPr>
          <w:rFonts w:cs="Times New Roman"/>
        </w:rPr>
        <w:t xml:space="preserve">w </w:t>
      </w:r>
      <w:r w:rsidR="005E0EA4">
        <w:rPr>
          <w:rFonts w:cs="Times New Roman"/>
        </w:rPr>
        <w:t>wal</w:t>
      </w:r>
      <w:r w:rsidR="00735E83">
        <w:rPr>
          <w:rFonts w:cs="Times New Roman"/>
        </w:rPr>
        <w:t>ce</w:t>
      </w:r>
      <w:r w:rsidR="005E0EA4">
        <w:rPr>
          <w:rFonts w:cs="Times New Roman"/>
        </w:rPr>
        <w:t xml:space="preserve"> z pandemią. Przeniesienie uwagi </w:t>
      </w:r>
      <w:r w:rsidR="00735E83">
        <w:rPr>
          <w:rFonts w:cs="Times New Roman"/>
        </w:rPr>
        <w:t xml:space="preserve">i odpowiedzialności </w:t>
      </w:r>
      <w:r w:rsidR="005E0EA4">
        <w:rPr>
          <w:rFonts w:cs="Times New Roman"/>
        </w:rPr>
        <w:t xml:space="preserve">na WHO i Chiny ma zwiększyć szanse na reelekcję D. </w:t>
      </w:r>
      <w:proofErr w:type="spellStart"/>
      <w:r w:rsidR="005E0EA4">
        <w:rPr>
          <w:rFonts w:cs="Times New Roman"/>
        </w:rPr>
        <w:t>Trumpa</w:t>
      </w:r>
      <w:proofErr w:type="spellEnd"/>
      <w:r w:rsidR="005E0EA4">
        <w:rPr>
          <w:rFonts w:cs="Times New Roman"/>
        </w:rPr>
        <w:t xml:space="preserve">. </w:t>
      </w:r>
    </w:p>
    <w:p w:rsidR="00423116" w:rsidRDefault="007471BB" w:rsidP="00AD037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Na n</w:t>
      </w:r>
      <w:r w:rsidR="00C250C8">
        <w:rPr>
          <w:rFonts w:cs="Times New Roman"/>
        </w:rPr>
        <w:t xml:space="preserve">apięcia między USA i Chinami </w:t>
      </w:r>
      <w:r w:rsidR="00A84EDA">
        <w:rPr>
          <w:rFonts w:cs="Times New Roman"/>
        </w:rPr>
        <w:t xml:space="preserve">związane z pandemią COVID-19 </w:t>
      </w:r>
      <w:r>
        <w:rPr>
          <w:rFonts w:cs="Times New Roman"/>
        </w:rPr>
        <w:t xml:space="preserve">należy patrzeć poprzez pryzmat </w:t>
      </w:r>
      <w:r w:rsidR="00A84EDA" w:rsidRPr="00673F72">
        <w:rPr>
          <w:rFonts w:cs="Times New Roman"/>
          <w:b/>
        </w:rPr>
        <w:t>strukturalnych problemów w relacjach obu państw</w:t>
      </w:r>
      <w:r w:rsidR="00A84EDA">
        <w:rPr>
          <w:rFonts w:cs="Times New Roman"/>
        </w:rPr>
        <w:t xml:space="preserve">, takich jak: nierównowaga w wymianie handlowej, oskarżenia o utrudnianie funkcjonowania firm amerykańskich w Chinach oraz o kradzież na masową skalę własności intelektualnej przez stronę chińską, globalna ekspansja chińskich firm i technologii telekomunikacyjnych (5G), roszczenia terytorialne Chin na Morzu Południowochińskim, czy też polityka USA wobec Tajwanu. </w:t>
      </w:r>
      <w:r w:rsidR="00423116">
        <w:rPr>
          <w:rFonts w:cs="Times New Roman"/>
        </w:rPr>
        <w:t>Strukturalne problemy w relacjach obu państw</w:t>
      </w:r>
      <w:r w:rsidR="00D43DEE">
        <w:rPr>
          <w:rFonts w:cs="Times New Roman"/>
        </w:rPr>
        <w:t xml:space="preserve"> (obecne bez względu na to kto jest gospodarzem Białego </w:t>
      </w:r>
      <w:proofErr w:type="gramStart"/>
      <w:r w:rsidR="00D43DEE">
        <w:rPr>
          <w:rFonts w:cs="Times New Roman"/>
        </w:rPr>
        <w:t xml:space="preserve">Domu) </w:t>
      </w:r>
      <w:r w:rsidR="00423116">
        <w:rPr>
          <w:rFonts w:cs="Times New Roman"/>
        </w:rPr>
        <w:t xml:space="preserve"> </w:t>
      </w:r>
      <w:r w:rsidR="00D43DEE" w:rsidRPr="00673F72">
        <w:rPr>
          <w:rFonts w:cs="Times New Roman"/>
          <w:b/>
        </w:rPr>
        <w:t>pogłębiane</w:t>
      </w:r>
      <w:proofErr w:type="gramEnd"/>
      <w:r w:rsidR="00D43DEE" w:rsidRPr="00673F72">
        <w:rPr>
          <w:rFonts w:cs="Times New Roman"/>
          <w:b/>
        </w:rPr>
        <w:t xml:space="preserve"> są jeszcze bardziej przez politykę „</w:t>
      </w:r>
      <w:proofErr w:type="spellStart"/>
      <w:r w:rsidR="00D43DEE" w:rsidRPr="00673F72">
        <w:rPr>
          <w:rFonts w:cs="Times New Roman"/>
          <w:b/>
        </w:rPr>
        <w:t>America</w:t>
      </w:r>
      <w:proofErr w:type="spellEnd"/>
      <w:r w:rsidR="00D43DEE" w:rsidRPr="00673F72">
        <w:rPr>
          <w:rFonts w:cs="Times New Roman"/>
          <w:b/>
        </w:rPr>
        <w:t xml:space="preserve"> First”</w:t>
      </w:r>
      <w:r w:rsidR="00D43DEE">
        <w:rPr>
          <w:rFonts w:cs="Times New Roman"/>
        </w:rPr>
        <w:t>, realizowaną przez obecną administrację USA.</w:t>
      </w:r>
    </w:p>
    <w:p w:rsidR="00527C92" w:rsidRDefault="007471BB" w:rsidP="00AD037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Zdecydowana i skoordynowana </w:t>
      </w:r>
      <w:r w:rsidRPr="00673F72">
        <w:rPr>
          <w:rFonts w:cs="Times New Roman"/>
          <w:b/>
        </w:rPr>
        <w:t>kampania propagandowa strony chińskiej</w:t>
      </w:r>
      <w:r>
        <w:rPr>
          <w:rFonts w:cs="Times New Roman"/>
        </w:rPr>
        <w:t xml:space="preserve"> (m.in. w początkowym okresie obarczanie </w:t>
      </w:r>
      <w:r w:rsidR="00735E83">
        <w:rPr>
          <w:rFonts w:cs="Times New Roman"/>
        </w:rPr>
        <w:t>USA</w:t>
      </w:r>
      <w:r>
        <w:rPr>
          <w:rFonts w:cs="Times New Roman"/>
        </w:rPr>
        <w:t xml:space="preserve"> odpowiedzialnością za wybuch pandemii, a następnie podkreślanie sukcesów Chin </w:t>
      </w:r>
      <w:r w:rsidR="00735E83">
        <w:rPr>
          <w:rFonts w:cs="Times New Roman"/>
        </w:rPr>
        <w:t xml:space="preserve">w </w:t>
      </w:r>
      <w:r>
        <w:rPr>
          <w:rFonts w:cs="Times New Roman"/>
        </w:rPr>
        <w:t xml:space="preserve">walce z wirusem oraz nagłaśnianie udzielanej pomocy innym krajom) </w:t>
      </w:r>
      <w:r w:rsidR="00282DFC">
        <w:rPr>
          <w:rFonts w:cs="Times New Roman"/>
        </w:rPr>
        <w:t>była dla strony amerykańskiej nowym doświadczeniem, które</w:t>
      </w:r>
      <w:r w:rsidR="00423116">
        <w:rPr>
          <w:rFonts w:cs="Times New Roman"/>
        </w:rPr>
        <w:t xml:space="preserve"> było kolejnym potwierdzeniem </w:t>
      </w:r>
      <w:r w:rsidR="00282DFC">
        <w:rPr>
          <w:rFonts w:cs="Times New Roman"/>
        </w:rPr>
        <w:t>wzrastając</w:t>
      </w:r>
      <w:r w:rsidR="00423116">
        <w:rPr>
          <w:rFonts w:cs="Times New Roman"/>
        </w:rPr>
        <w:t>ej</w:t>
      </w:r>
      <w:r w:rsidR="00282DFC">
        <w:rPr>
          <w:rFonts w:cs="Times New Roman"/>
        </w:rPr>
        <w:t xml:space="preserve"> pewnoś</w:t>
      </w:r>
      <w:r w:rsidR="00735E83">
        <w:rPr>
          <w:rFonts w:cs="Times New Roman"/>
        </w:rPr>
        <w:t>ci</w:t>
      </w:r>
      <w:r w:rsidR="00282DFC">
        <w:rPr>
          <w:rFonts w:cs="Times New Roman"/>
        </w:rPr>
        <w:t xml:space="preserve"> siebie i asertywnoś</w:t>
      </w:r>
      <w:r w:rsidR="00423116">
        <w:rPr>
          <w:rFonts w:cs="Times New Roman"/>
        </w:rPr>
        <w:t>ci</w:t>
      </w:r>
      <w:r w:rsidR="00282DFC">
        <w:rPr>
          <w:rFonts w:cs="Times New Roman"/>
        </w:rPr>
        <w:t xml:space="preserve"> tego mocarstwa i głównego </w:t>
      </w:r>
      <w:r w:rsidR="00423116">
        <w:rPr>
          <w:rFonts w:cs="Times New Roman"/>
        </w:rPr>
        <w:t xml:space="preserve">globalnego konkurenta USA. </w:t>
      </w:r>
      <w:r w:rsidR="00803198">
        <w:rPr>
          <w:rFonts w:cs="Times New Roman"/>
        </w:rPr>
        <w:t xml:space="preserve">Strona chińska udowodniła, że </w:t>
      </w:r>
      <w:r w:rsidR="00803198" w:rsidRPr="00673F72">
        <w:rPr>
          <w:rFonts w:cs="Times New Roman"/>
          <w:b/>
        </w:rPr>
        <w:t xml:space="preserve">stanowi dla USA wyzwanie nie tylko </w:t>
      </w:r>
      <w:proofErr w:type="gramStart"/>
      <w:r w:rsidR="00803198" w:rsidRPr="00673F72">
        <w:rPr>
          <w:rFonts w:cs="Times New Roman"/>
          <w:b/>
        </w:rPr>
        <w:t>gospodarcze,</w:t>
      </w:r>
      <w:proofErr w:type="gramEnd"/>
      <w:r w:rsidR="00803198" w:rsidRPr="00673F72">
        <w:rPr>
          <w:rFonts w:cs="Times New Roman"/>
          <w:b/>
        </w:rPr>
        <w:t xml:space="preserve"> czy militarne, ale także propagandowo-informacyjne</w:t>
      </w:r>
      <w:r w:rsidR="00803198">
        <w:rPr>
          <w:rFonts w:cs="Times New Roman"/>
        </w:rPr>
        <w:t>. W amerykańskiej przestrzeni publicznej dotychczas to Rosja postrzegana była jako główne wyzwanie, jeżeli c</w:t>
      </w:r>
      <w:r w:rsidR="00735E83">
        <w:rPr>
          <w:rFonts w:cs="Times New Roman"/>
        </w:rPr>
        <w:t>hodzi o dezinformację i wywiera</w:t>
      </w:r>
      <w:r w:rsidR="00803198">
        <w:rPr>
          <w:rFonts w:cs="Times New Roman"/>
        </w:rPr>
        <w:t xml:space="preserve">nie wpływu, do czego przyczyniły się </w:t>
      </w:r>
      <w:r w:rsidR="00527C92">
        <w:rPr>
          <w:rFonts w:cs="Times New Roman"/>
        </w:rPr>
        <w:t>m.in. działania Moskwy podczas ostatnich wyborów prezydenckich w USA.</w:t>
      </w:r>
      <w:r w:rsidR="002C1C8E">
        <w:rPr>
          <w:rFonts w:cs="Times New Roman"/>
        </w:rPr>
        <w:t xml:space="preserve"> </w:t>
      </w:r>
    </w:p>
    <w:p w:rsidR="00CA3841" w:rsidRDefault="00CA3841" w:rsidP="00AD037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Reakcja amerykańska na kampanię i działania propagandowe ma dwa oblicza (podobnie jak miało to miejsce w przypadku innych aspektów relacji między obydwoma krajami</w:t>
      </w:r>
      <w:r w:rsidR="005C3B31">
        <w:rPr>
          <w:rFonts w:cs="Times New Roman"/>
        </w:rPr>
        <w:t>)</w:t>
      </w:r>
      <w:r>
        <w:rPr>
          <w:rFonts w:cs="Times New Roman"/>
        </w:rPr>
        <w:t xml:space="preserve">. Z jednej strony, przedstawiciele administracji, w tym szczególnie sekretarz stanu M. Pompeo, wprost krytykują stronę chińską, zarzucając jej brak transparentności w początkowym okresie pandemii. M. Pompeo konsekwentnie w swoich wypowiedziach publicznych podkreśla, że miejscem, z którego pochodzi wirus </w:t>
      </w:r>
      <w:r w:rsidR="005C3B31">
        <w:rPr>
          <w:rFonts w:cs="Times New Roman"/>
        </w:rPr>
        <w:t>było c</w:t>
      </w:r>
      <w:r>
        <w:rPr>
          <w:rFonts w:cs="Times New Roman"/>
        </w:rPr>
        <w:t>hińskie Wuhan. Z drugiej strony</w:t>
      </w:r>
      <w:r w:rsidR="005C3B31">
        <w:rPr>
          <w:rFonts w:cs="Times New Roman"/>
        </w:rPr>
        <w:t xml:space="preserve">, prezydent </w:t>
      </w:r>
      <w:proofErr w:type="spellStart"/>
      <w:r w:rsidR="005C3B31">
        <w:rPr>
          <w:rFonts w:cs="Times New Roman"/>
        </w:rPr>
        <w:t>Trump</w:t>
      </w:r>
      <w:proofErr w:type="spellEnd"/>
      <w:r w:rsidR="005C3B31">
        <w:rPr>
          <w:rFonts w:cs="Times New Roman"/>
        </w:rPr>
        <w:t xml:space="preserve">, nie rezygnując z krytyki Pekinu, wskazuje na jego dobre osobiste relacje z przewodniczącym Xi </w:t>
      </w:r>
      <w:proofErr w:type="spellStart"/>
      <w:r w:rsidR="005C3B31">
        <w:rPr>
          <w:rFonts w:cs="Times New Roman"/>
        </w:rPr>
        <w:t>J</w:t>
      </w:r>
      <w:r w:rsidR="00735E83">
        <w:rPr>
          <w:rFonts w:cs="Times New Roman"/>
        </w:rPr>
        <w:t>i</w:t>
      </w:r>
      <w:r w:rsidR="005C3B31">
        <w:rPr>
          <w:rFonts w:cs="Times New Roman"/>
        </w:rPr>
        <w:t>npingiem</w:t>
      </w:r>
      <w:proofErr w:type="spellEnd"/>
      <w:r w:rsidR="005C3B31">
        <w:rPr>
          <w:rFonts w:cs="Times New Roman"/>
        </w:rPr>
        <w:t xml:space="preserve">.  </w:t>
      </w:r>
    </w:p>
    <w:p w:rsidR="008C48FB" w:rsidRDefault="0079596F" w:rsidP="008C48FB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Kryzys w relacjach USA z WHO dla wielu </w:t>
      </w:r>
      <w:r w:rsidRPr="0079596F">
        <w:rPr>
          <w:rFonts w:cs="Times New Roman"/>
        </w:rPr>
        <w:t>komentatorów jest ko</w:t>
      </w:r>
      <w:r>
        <w:rPr>
          <w:rFonts w:cs="Times New Roman"/>
        </w:rPr>
        <w:t xml:space="preserve">lejnym potwierdzeniem </w:t>
      </w:r>
      <w:r w:rsidR="00E5181F">
        <w:rPr>
          <w:rFonts w:cs="Times New Roman"/>
        </w:rPr>
        <w:t xml:space="preserve">głębokiej </w:t>
      </w:r>
      <w:r w:rsidR="00E5181F" w:rsidRPr="00673F72">
        <w:rPr>
          <w:rFonts w:cs="Times New Roman"/>
          <w:b/>
        </w:rPr>
        <w:t>niechęci obecnej administracji wobec instytucji wielostronnych</w:t>
      </w:r>
      <w:r w:rsidR="00E5181F">
        <w:rPr>
          <w:rFonts w:cs="Times New Roman"/>
        </w:rPr>
        <w:t xml:space="preserve">. W </w:t>
      </w:r>
      <w:r w:rsidR="00E60735">
        <w:rPr>
          <w:rFonts w:cs="Times New Roman"/>
        </w:rPr>
        <w:t xml:space="preserve">naszej </w:t>
      </w:r>
      <w:r w:rsidR="00BA10DA">
        <w:rPr>
          <w:rFonts w:cs="Times New Roman"/>
        </w:rPr>
        <w:t>opinii</w:t>
      </w:r>
      <w:r w:rsidR="00E5181F">
        <w:rPr>
          <w:rFonts w:cs="Times New Roman"/>
        </w:rPr>
        <w:t xml:space="preserve"> ocena taka jest pewnym uproszczeniem. Pozytywna ocena działań NATO (zwiększenie wydatków obronnych i podjęcie dyskusji nt. Chin) i OPCW (w kontekście ostatniego raportu nt. użycia broni chemicznej przez Syrię) wskazuje, że obecne władze w Waszyngtonie dostrzegają korzyści wynikające z udziału w</w:t>
      </w:r>
      <w:r w:rsidR="00673F72">
        <w:rPr>
          <w:rFonts w:cs="Times New Roman"/>
        </w:rPr>
        <w:t xml:space="preserve"> niektórych</w:t>
      </w:r>
      <w:r w:rsidR="00E5181F">
        <w:rPr>
          <w:rFonts w:cs="Times New Roman"/>
        </w:rPr>
        <w:t xml:space="preserve"> formatach wielostronnych. Niemniej, </w:t>
      </w:r>
      <w:r w:rsidR="00E5181F" w:rsidRPr="00673F72">
        <w:rPr>
          <w:rFonts w:cs="Times New Roman"/>
          <w:b/>
        </w:rPr>
        <w:t xml:space="preserve">w wielu przypadkach udział w takich formatach postrzegany jest jako niekorzystny, </w:t>
      </w:r>
      <w:r w:rsidR="008C48FB" w:rsidRPr="00673F72">
        <w:rPr>
          <w:rFonts w:cs="Times New Roman"/>
          <w:b/>
        </w:rPr>
        <w:t>szczególnie w porównaniu w ponoszonymi kosztami</w:t>
      </w:r>
      <w:r w:rsidR="00735E83" w:rsidRPr="00673F72">
        <w:rPr>
          <w:rFonts w:cs="Times New Roman"/>
          <w:b/>
        </w:rPr>
        <w:t>.</w:t>
      </w:r>
      <w:r w:rsidR="00735E83">
        <w:rPr>
          <w:rFonts w:cs="Times New Roman"/>
        </w:rPr>
        <w:t xml:space="preserve"> Takim </w:t>
      </w:r>
      <w:r w:rsidR="008C48FB">
        <w:rPr>
          <w:rFonts w:cs="Times New Roman"/>
        </w:rPr>
        <w:t>przykładem jest WHO, w której to organizacji, w ocenie obecnej administracji, zbyt duże wpływy zyskały Chiny, przeznaczające do organizacji kilkukrotnie mniejszy wkład finansowy niż USA. Z tego też powodu obecna administracja podejmuje próby stworzenia alternatywnych forów współpracy wielostronnej, które pozwalają na lepszą realizację ich interesów (</w:t>
      </w:r>
      <w:r w:rsidR="00951BC0">
        <w:rPr>
          <w:rFonts w:cs="Times New Roman"/>
        </w:rPr>
        <w:t xml:space="preserve">m.in. </w:t>
      </w:r>
      <w:r w:rsidR="003D0F0F">
        <w:rPr>
          <w:rFonts w:cs="Times New Roman"/>
          <w:i/>
          <w:iCs/>
        </w:rPr>
        <w:t xml:space="preserve">International </w:t>
      </w:r>
      <w:proofErr w:type="spellStart"/>
      <w:r w:rsidR="008C48FB" w:rsidRPr="00951BC0">
        <w:rPr>
          <w:rFonts w:cs="Times New Roman"/>
          <w:i/>
        </w:rPr>
        <w:t>Religious</w:t>
      </w:r>
      <w:proofErr w:type="spellEnd"/>
      <w:r w:rsidR="008C48FB" w:rsidRPr="00951BC0">
        <w:rPr>
          <w:rFonts w:cs="Times New Roman"/>
          <w:i/>
        </w:rPr>
        <w:t xml:space="preserve"> </w:t>
      </w:r>
      <w:proofErr w:type="spellStart"/>
      <w:r w:rsidR="003D0F0F">
        <w:rPr>
          <w:rFonts w:cs="Times New Roman"/>
          <w:i/>
        </w:rPr>
        <w:t>Freedom</w:t>
      </w:r>
      <w:proofErr w:type="spellEnd"/>
      <w:r w:rsidR="003D0F0F">
        <w:rPr>
          <w:rFonts w:cs="Times New Roman"/>
          <w:i/>
        </w:rPr>
        <w:t xml:space="preserve"> </w:t>
      </w:r>
      <w:r w:rsidR="008C48FB" w:rsidRPr="00951BC0">
        <w:rPr>
          <w:rFonts w:cs="Times New Roman"/>
          <w:i/>
        </w:rPr>
        <w:t>Alliance,</w:t>
      </w:r>
      <w:r w:rsidR="0079384A">
        <w:rPr>
          <w:rFonts w:cs="Times New Roman"/>
          <w:i/>
        </w:rPr>
        <w:t xml:space="preserve"> </w:t>
      </w:r>
      <w:proofErr w:type="spellStart"/>
      <w:r w:rsidR="003D0F0F">
        <w:rPr>
          <w:rFonts w:cs="Times New Roman"/>
          <w:i/>
        </w:rPr>
        <w:t>Commission</w:t>
      </w:r>
      <w:proofErr w:type="spellEnd"/>
      <w:r w:rsidR="003D0F0F">
        <w:rPr>
          <w:rFonts w:cs="Times New Roman"/>
          <w:i/>
        </w:rPr>
        <w:t xml:space="preserve"> on </w:t>
      </w:r>
      <w:proofErr w:type="spellStart"/>
      <w:r w:rsidR="003D0F0F">
        <w:rPr>
          <w:rFonts w:cs="Times New Roman"/>
          <w:i/>
        </w:rPr>
        <w:t>U</w:t>
      </w:r>
      <w:r w:rsidR="0079384A">
        <w:rPr>
          <w:rFonts w:cs="Times New Roman"/>
          <w:i/>
        </w:rPr>
        <w:t>nalienable</w:t>
      </w:r>
      <w:proofErr w:type="spellEnd"/>
      <w:r w:rsidR="0079384A">
        <w:rPr>
          <w:rFonts w:cs="Times New Roman"/>
          <w:i/>
        </w:rPr>
        <w:t xml:space="preserve"> </w:t>
      </w:r>
      <w:proofErr w:type="spellStart"/>
      <w:r w:rsidR="0079384A">
        <w:rPr>
          <w:rFonts w:cs="Times New Roman"/>
          <w:i/>
        </w:rPr>
        <w:t>Rights</w:t>
      </w:r>
      <w:proofErr w:type="spellEnd"/>
      <w:r w:rsidR="0079384A">
        <w:rPr>
          <w:rFonts w:cs="Times New Roman"/>
          <w:i/>
        </w:rPr>
        <w:t xml:space="preserve"> - Komisja</w:t>
      </w:r>
      <w:r w:rsidR="0079384A" w:rsidRPr="0079384A">
        <w:rPr>
          <w:rFonts w:cs="Times New Roman"/>
          <w:i/>
        </w:rPr>
        <w:t xml:space="preserve"> Niezbywalnych Praw</w:t>
      </w:r>
      <w:r w:rsidR="0079384A">
        <w:rPr>
          <w:rFonts w:cs="Times New Roman"/>
          <w:i/>
        </w:rPr>
        <w:t xml:space="preserve"> w Departamencie Stanu,</w:t>
      </w:r>
      <w:r w:rsidR="008C48FB" w:rsidRPr="00951BC0">
        <w:rPr>
          <w:rFonts w:cs="Times New Roman"/>
          <w:i/>
        </w:rPr>
        <w:t xml:space="preserve"> Blue </w:t>
      </w:r>
      <w:proofErr w:type="spellStart"/>
      <w:r w:rsidR="008C48FB" w:rsidRPr="00951BC0">
        <w:rPr>
          <w:rFonts w:cs="Times New Roman"/>
          <w:i/>
        </w:rPr>
        <w:t>Dot</w:t>
      </w:r>
      <w:proofErr w:type="spellEnd"/>
      <w:r w:rsidR="008C48FB" w:rsidRPr="00951BC0">
        <w:rPr>
          <w:rFonts w:cs="Times New Roman"/>
          <w:i/>
        </w:rPr>
        <w:t xml:space="preserve"> Network</w:t>
      </w:r>
      <w:r w:rsidR="008C48FB">
        <w:rPr>
          <w:rFonts w:cs="Times New Roman"/>
        </w:rPr>
        <w:t>, Proces Warszawski).</w:t>
      </w:r>
    </w:p>
    <w:p w:rsidR="00832B01" w:rsidRPr="00D65D31" w:rsidRDefault="00832B01" w:rsidP="008C48FB">
      <w:pPr>
        <w:spacing w:after="120" w:line="240" w:lineRule="auto"/>
        <w:jc w:val="both"/>
        <w:rPr>
          <w:rFonts w:cs="Times New Roman"/>
          <w:b/>
        </w:rPr>
      </w:pPr>
      <w:r w:rsidRPr="00D65D31">
        <w:rPr>
          <w:rFonts w:cs="Times New Roman"/>
          <w:b/>
        </w:rPr>
        <w:t>Kontekst gospodarczy</w:t>
      </w:r>
    </w:p>
    <w:p w:rsidR="00832B01" w:rsidRDefault="00832B01" w:rsidP="008C48FB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Wyzwania generowane przez </w:t>
      </w:r>
      <w:r w:rsidRPr="00673F72">
        <w:rPr>
          <w:rFonts w:cs="Times New Roman"/>
          <w:b/>
        </w:rPr>
        <w:t>rosnący potencjał gospodarczy Chin</w:t>
      </w:r>
      <w:r>
        <w:rPr>
          <w:rFonts w:cs="Times New Roman"/>
        </w:rPr>
        <w:t xml:space="preserve"> są główną przyczyną obecnych napięć w relacjach</w:t>
      </w:r>
      <w:r w:rsidR="000565D7">
        <w:rPr>
          <w:rFonts w:cs="Times New Roman"/>
        </w:rPr>
        <w:t xml:space="preserve"> pomiędzy dwoma największymi gospodarkami świata. Już w trakcie kampanii przed wyborami w 2016 r. D. </w:t>
      </w:r>
      <w:proofErr w:type="spellStart"/>
      <w:r w:rsidR="000565D7">
        <w:rPr>
          <w:rFonts w:cs="Times New Roman"/>
        </w:rPr>
        <w:t>Trump</w:t>
      </w:r>
      <w:proofErr w:type="spellEnd"/>
      <w:r w:rsidR="000565D7">
        <w:rPr>
          <w:rFonts w:cs="Times New Roman"/>
        </w:rPr>
        <w:t xml:space="preserve"> obiecywał zdecydowane </w:t>
      </w:r>
      <w:r w:rsidR="000565D7" w:rsidRPr="00673F72">
        <w:rPr>
          <w:rFonts w:cs="Times New Roman"/>
          <w:b/>
        </w:rPr>
        <w:t>działania na rzecz</w:t>
      </w:r>
      <w:r w:rsidR="000565D7">
        <w:rPr>
          <w:rFonts w:cs="Times New Roman"/>
        </w:rPr>
        <w:t xml:space="preserve"> </w:t>
      </w:r>
      <w:r w:rsidR="000565D7" w:rsidRPr="00673F72">
        <w:rPr>
          <w:rFonts w:cs="Times New Roman"/>
          <w:b/>
        </w:rPr>
        <w:t>wyeliminowania nieuczciwych praktyk handlowych stosowanych przez Chiny, takich jak masowe subsydiowanie przedsiębiorstw, kradzież własności intelektualnej czy też wymuszanie transferu technologii przez przedsiębiorstwa inwestujące w tym kraju.</w:t>
      </w:r>
      <w:r w:rsidR="000565D7">
        <w:rPr>
          <w:rFonts w:cs="Times New Roman"/>
        </w:rPr>
        <w:t xml:space="preserve"> Celem ataków D. </w:t>
      </w:r>
      <w:proofErr w:type="spellStart"/>
      <w:r w:rsidR="000565D7">
        <w:rPr>
          <w:rFonts w:cs="Times New Roman"/>
        </w:rPr>
        <w:t>Trumpa</w:t>
      </w:r>
      <w:proofErr w:type="spellEnd"/>
      <w:r w:rsidR="000565D7">
        <w:rPr>
          <w:rFonts w:cs="Times New Roman"/>
        </w:rPr>
        <w:t xml:space="preserve"> był przede wszystkim ogromny i wciąż rosnący deficyt w handlu z Chinami, ale rzeczywistym powodem niepokojów było przekonanie, iż dynamicznie rozwijająca się </w:t>
      </w:r>
      <w:r w:rsidR="00270671">
        <w:rPr>
          <w:rFonts w:cs="Times New Roman"/>
        </w:rPr>
        <w:t xml:space="preserve">(dzięki stosowaniu nieuczciwych metod) </w:t>
      </w:r>
      <w:r w:rsidR="000565D7">
        <w:rPr>
          <w:rFonts w:cs="Times New Roman"/>
        </w:rPr>
        <w:t>chińska gospodarka, uzyskująca coraz wyższy stopień</w:t>
      </w:r>
      <w:r w:rsidR="003D3363">
        <w:rPr>
          <w:rFonts w:cs="Times New Roman"/>
        </w:rPr>
        <w:t xml:space="preserve"> zaawansowania technologicznego i skutecznie powiększająca swoje wpływy gospodarcze (a w efekcie także polityczne i militarne) </w:t>
      </w:r>
      <w:r w:rsidR="00ED68A5">
        <w:rPr>
          <w:rFonts w:cs="Times New Roman"/>
        </w:rPr>
        <w:t xml:space="preserve">na świecie, </w:t>
      </w:r>
      <w:r w:rsidR="003D3363">
        <w:rPr>
          <w:rFonts w:cs="Times New Roman"/>
        </w:rPr>
        <w:t xml:space="preserve">stanowi najpoważniejsze obecnie zagrożenie dla dominującej pozycji Stanów Zjednoczonych. </w:t>
      </w:r>
    </w:p>
    <w:p w:rsidR="003D3363" w:rsidRDefault="009018FD" w:rsidP="008C48FB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 pierwszych, niezbyt skutecznych próbach polubownego zbilansowania relacji handlowych z Chinami (spotkanie </w:t>
      </w:r>
      <w:proofErr w:type="spellStart"/>
      <w:r>
        <w:rPr>
          <w:rFonts w:cs="Times New Roman"/>
        </w:rPr>
        <w:t>Trump</w:t>
      </w:r>
      <w:proofErr w:type="spellEnd"/>
      <w:r>
        <w:rPr>
          <w:rFonts w:cs="Times New Roman"/>
        </w:rPr>
        <w:t>-Xi w kwietniu 2017 r., zainicjowanie Wszechstronnego Dialogu</w:t>
      </w:r>
      <w:r w:rsidR="00CC7BD6">
        <w:rPr>
          <w:rFonts w:cs="Times New Roman"/>
        </w:rPr>
        <w:t xml:space="preserve"> USA</w:t>
      </w:r>
      <w:r>
        <w:rPr>
          <w:rFonts w:cs="Times New Roman"/>
        </w:rPr>
        <w:t>-Chiny i opracow</w:t>
      </w:r>
      <w:r w:rsidR="00CC7BD6">
        <w:rPr>
          <w:rFonts w:cs="Times New Roman"/>
        </w:rPr>
        <w:t>anie planu działania na kolejnych 100 dni), już w</w:t>
      </w:r>
      <w:r w:rsidR="003D3363" w:rsidRPr="003D3363">
        <w:rPr>
          <w:rFonts w:cs="Times New Roman"/>
        </w:rPr>
        <w:t xml:space="preserve"> sierpniu 2017 r. Stany Zjednoczone wszczęły postępowanie w ramach tzw. sekcji 301 dotyczące negatywnego wpływu polityki Chin w zakresie transferu technologii i ochrony własności intelektualnej na interesy amerykańskie. W jego wyniku podjęto decyzję o nałożeniu ceł na import wybranych towarów z Chin. W odpowiedzi Chiny zareagowały wprowadzeniem analogicznych ograniczeń na import z USA, co stało się początkiem amerykańsko-chińskiej wojny handlowej. Równolegle rozpoczęto negocjacje dwustronne, mające na celu wyeliminowanie nieuczciwych praktyk stosowanych </w:t>
      </w:r>
      <w:r w:rsidR="003D3363" w:rsidRPr="003D3363">
        <w:rPr>
          <w:rFonts w:cs="Times New Roman"/>
        </w:rPr>
        <w:lastRenderedPageBreak/>
        <w:t xml:space="preserve">przez ChRL. W związku z brakiem oczekiwanego postępu w tych rozmowach coraz wyższymi stawkami cła obejmowane były kolejne grupy chińskich towarów, a docelowo w połowie grudnia 2019 r. dodatkowymi cłami w różnej wysokości miał zostać objęty cały import z Chin. Ostatecznie </w:t>
      </w:r>
      <w:r w:rsidR="003D3363" w:rsidRPr="00673F72">
        <w:rPr>
          <w:rFonts w:cs="Times New Roman"/>
          <w:b/>
        </w:rPr>
        <w:t>na początku grudnia 2019 r. obie strony ogłosiły osiągnięcie pierwszej fazy porozumienia</w:t>
      </w:r>
      <w:r w:rsidR="003D3363" w:rsidRPr="003D3363">
        <w:rPr>
          <w:rFonts w:cs="Times New Roman"/>
        </w:rPr>
        <w:t>, w ramach którego Chiny zobowiązały się do reform strukturalnych w obszarze polityki handlowej, transferu technologii, ochrony własności intelektualnej, usług finansowych i kursu walutowego, a także zadeklarowały zwiększone zakupy amerykańskich towarów, w szczególności produktów rolnych. W odpowiedzi Stany Zjednoczone zrezygnowały z ostatniej zaplanowanej podwyżki ceł i obniżyły cła na część towarów wcześniej nimi objętych.</w:t>
      </w:r>
    </w:p>
    <w:p w:rsidR="00D65D31" w:rsidRDefault="00D65D31" w:rsidP="00C21699">
      <w:pPr>
        <w:spacing w:after="120" w:line="240" w:lineRule="auto"/>
        <w:jc w:val="both"/>
        <w:rPr>
          <w:rFonts w:cs="Helvetica"/>
          <w:color w:val="14171A"/>
        </w:rPr>
      </w:pPr>
      <w:r w:rsidRPr="00872054">
        <w:rPr>
          <w:rFonts w:cs="Helvetica"/>
          <w:color w:val="14171A"/>
        </w:rPr>
        <w:t xml:space="preserve">Stany Zjednoczone podjęły także zdecydowane </w:t>
      </w:r>
      <w:r w:rsidRPr="00673F72">
        <w:rPr>
          <w:rFonts w:cs="Helvetica"/>
          <w:b/>
          <w:color w:val="14171A"/>
        </w:rPr>
        <w:t>działania przeciwko chińskiej dominacji w obszarze wysokich technologii</w:t>
      </w:r>
      <w:r w:rsidRPr="00872054">
        <w:rPr>
          <w:rFonts w:cs="Helvetica"/>
          <w:color w:val="14171A"/>
        </w:rPr>
        <w:t xml:space="preserve">. Podjęto </w:t>
      </w:r>
      <w:r>
        <w:rPr>
          <w:rFonts w:cs="Helvetica"/>
          <w:color w:val="14171A"/>
        </w:rPr>
        <w:t xml:space="preserve">m.in. </w:t>
      </w:r>
      <w:r w:rsidRPr="00872054">
        <w:rPr>
          <w:rFonts w:cs="Helvetica"/>
          <w:color w:val="14171A"/>
        </w:rPr>
        <w:t>decyzję o zakazie wykorzystywania przez amerykańskich operatorów telekomunikacyjnych chińskich technologii przy budowie sieci telekomunikacji mobilnej piątej generacji (</w:t>
      </w:r>
      <w:r w:rsidRPr="00673F72">
        <w:rPr>
          <w:rFonts w:cs="Helvetica"/>
          <w:b/>
          <w:color w:val="14171A"/>
        </w:rPr>
        <w:t>5G</w:t>
      </w:r>
      <w:r w:rsidRPr="00872054">
        <w:rPr>
          <w:rFonts w:cs="Helvetica"/>
          <w:color w:val="14171A"/>
        </w:rPr>
        <w:t xml:space="preserve">), argumentując to zagrożeniem ingerowania przez Chiny w pracę urządzeń korzystających z takiej sieci. </w:t>
      </w:r>
      <w:r w:rsidRPr="00673F72">
        <w:rPr>
          <w:rFonts w:cs="Helvetica"/>
          <w:b/>
          <w:color w:val="14171A"/>
        </w:rPr>
        <w:t>Analogiczne oczekiwania Stany Zjednoczone przedstawiły wobec innych państw, szczególnie tych</w:t>
      </w:r>
      <w:r w:rsidR="00E60735">
        <w:rPr>
          <w:rFonts w:cs="Helvetica"/>
          <w:b/>
          <w:color w:val="14171A"/>
        </w:rPr>
        <w:t>,</w:t>
      </w:r>
      <w:r w:rsidRPr="00673F72">
        <w:rPr>
          <w:rFonts w:cs="Helvetica"/>
          <w:b/>
          <w:color w:val="14171A"/>
        </w:rPr>
        <w:t xml:space="preserve"> z którymi prowadzą bliską współpracę w obszarze wojskowym</w:t>
      </w:r>
      <w:r w:rsidRPr="00872054">
        <w:rPr>
          <w:rFonts w:cs="Helvetica"/>
          <w:color w:val="14171A"/>
        </w:rPr>
        <w:t xml:space="preserve"> (np. sojuszników z NATO), wskazując, że jeżeli kraje te będą korzystały z urządzeń dostarczanych przez chińskich dostawców, może to uniemożliwić wymianę wrażliwych informacji. Ograniczenia współpracy z chińskimi producentami objęły także </w:t>
      </w:r>
      <w:r w:rsidRPr="00F9625E">
        <w:rPr>
          <w:rFonts w:cs="Helvetica"/>
          <w:b/>
          <w:color w:val="14171A"/>
        </w:rPr>
        <w:t xml:space="preserve">zakaz sprzedaży chińskiemu koncernowi </w:t>
      </w:r>
      <w:proofErr w:type="spellStart"/>
      <w:r w:rsidRPr="00F9625E">
        <w:rPr>
          <w:rFonts w:cs="Helvetica"/>
          <w:b/>
          <w:color w:val="14171A"/>
        </w:rPr>
        <w:t>Huawei</w:t>
      </w:r>
      <w:proofErr w:type="spellEnd"/>
      <w:r w:rsidRPr="00F9625E">
        <w:rPr>
          <w:rFonts w:cs="Helvetica"/>
          <w:b/>
          <w:color w:val="14171A"/>
        </w:rPr>
        <w:t xml:space="preserve"> amerykańskich produktów i komponentów</w:t>
      </w:r>
      <w:r w:rsidRPr="00872054">
        <w:rPr>
          <w:rFonts w:cs="Helvetica"/>
          <w:color w:val="14171A"/>
        </w:rPr>
        <w:t xml:space="preserve"> (w efekcie oznacza to m.in. brak możliwości stosowania wielu aplikacji mobilnych w urządzeniach tej firmy). W celu ograniczenia możliwości przejęcia przez Chiny strategicznych technologii, Stany Zjednoczone znowelizowały w 2018 r. przepisy dotyczące funkcjonowania Komisji ds. Inwestycji Zagranicznych w USA (CFIUS), która monitoruje transakcje inwestycyjne i przejmowanie amerykańskich aktywów. Ponadto</w:t>
      </w:r>
      <w:r w:rsidR="00FB6EA4">
        <w:rPr>
          <w:rFonts w:cs="Helvetica"/>
          <w:color w:val="14171A"/>
        </w:rPr>
        <w:t>, na fali krytyki</w:t>
      </w:r>
      <w:r w:rsidRPr="00872054">
        <w:rPr>
          <w:rFonts w:cs="Helvetica"/>
          <w:color w:val="14171A"/>
        </w:rPr>
        <w:t xml:space="preserve"> globalnej ekspansji gospodarczej realizowanej przez Chiny, szczególnie związanej z inic</w:t>
      </w:r>
      <w:r w:rsidR="00FB6EA4">
        <w:rPr>
          <w:rFonts w:cs="Helvetica"/>
          <w:color w:val="14171A"/>
        </w:rPr>
        <w:t>jatywą Pasa i Szlaku, tzw. „</w:t>
      </w:r>
      <w:r w:rsidR="009720D7">
        <w:rPr>
          <w:rFonts w:cs="Helvetica"/>
          <w:color w:val="14171A"/>
        </w:rPr>
        <w:t>dyplomacją</w:t>
      </w:r>
      <w:r w:rsidR="00FB6EA4">
        <w:rPr>
          <w:rFonts w:cs="Helvetica"/>
          <w:color w:val="14171A"/>
        </w:rPr>
        <w:t xml:space="preserve"> długu” i </w:t>
      </w:r>
      <w:r w:rsidR="009720D7">
        <w:rPr>
          <w:rFonts w:cs="Helvetica"/>
          <w:color w:val="14171A"/>
        </w:rPr>
        <w:t>przejmowaniem</w:t>
      </w:r>
      <w:r w:rsidRPr="00872054">
        <w:rPr>
          <w:rFonts w:cs="Helvetica"/>
          <w:color w:val="14171A"/>
        </w:rPr>
        <w:t xml:space="preserve"> strategicznych aktywów w innych państwach</w:t>
      </w:r>
      <w:r w:rsidR="00FB6EA4">
        <w:rPr>
          <w:rFonts w:cs="Helvetica"/>
          <w:color w:val="14171A"/>
        </w:rPr>
        <w:t>, Stany Zjednoczone</w:t>
      </w:r>
      <w:r>
        <w:rPr>
          <w:rFonts w:cs="Helvetica"/>
          <w:color w:val="14171A"/>
        </w:rPr>
        <w:t>, wspólnie z Japonią</w:t>
      </w:r>
      <w:r w:rsidRPr="00872054">
        <w:rPr>
          <w:rFonts w:cs="Helvetica"/>
          <w:color w:val="14171A"/>
        </w:rPr>
        <w:t xml:space="preserve"> i Australią, ogłosiły </w:t>
      </w:r>
      <w:r w:rsidR="00FB6EA4">
        <w:rPr>
          <w:rFonts w:cs="Helvetica"/>
          <w:color w:val="14171A"/>
        </w:rPr>
        <w:t xml:space="preserve">w </w:t>
      </w:r>
      <w:r w:rsidR="00FB6EA4" w:rsidRPr="00872054">
        <w:rPr>
          <w:rFonts w:cs="Helvetica"/>
          <w:color w:val="14171A"/>
        </w:rPr>
        <w:t>listopa</w:t>
      </w:r>
      <w:r w:rsidR="00FB6EA4">
        <w:rPr>
          <w:rFonts w:cs="Helvetica"/>
          <w:color w:val="14171A"/>
        </w:rPr>
        <w:t xml:space="preserve">dzie 2019 r. </w:t>
      </w:r>
      <w:r w:rsidRPr="00872054">
        <w:rPr>
          <w:rFonts w:cs="Helvetica"/>
          <w:color w:val="14171A"/>
        </w:rPr>
        <w:t xml:space="preserve">inicjatywę </w:t>
      </w:r>
      <w:r w:rsidRPr="00F9625E">
        <w:rPr>
          <w:rFonts w:cs="Helvetica"/>
          <w:b/>
          <w:color w:val="14171A"/>
        </w:rPr>
        <w:t xml:space="preserve">Blue </w:t>
      </w:r>
      <w:proofErr w:type="spellStart"/>
      <w:r w:rsidRPr="00F9625E">
        <w:rPr>
          <w:rFonts w:cs="Helvetica"/>
          <w:b/>
          <w:color w:val="14171A"/>
        </w:rPr>
        <w:t>Dot</w:t>
      </w:r>
      <w:proofErr w:type="spellEnd"/>
      <w:r w:rsidRPr="00F9625E">
        <w:rPr>
          <w:rFonts w:cs="Helvetica"/>
          <w:b/>
          <w:color w:val="14171A"/>
        </w:rPr>
        <w:t xml:space="preserve"> Network, mającą na celu promowanie przejrzystości i wysokich standardów w dziedzinie inwestycji infrastrukturalnych</w:t>
      </w:r>
      <w:r w:rsidRPr="00872054">
        <w:rPr>
          <w:rFonts w:cs="Helvetica"/>
          <w:color w:val="14171A"/>
        </w:rPr>
        <w:t>.</w:t>
      </w:r>
    </w:p>
    <w:p w:rsidR="0021476C" w:rsidRPr="00F9625E" w:rsidRDefault="00CC7BD6" w:rsidP="00C21699">
      <w:pPr>
        <w:spacing w:after="120" w:line="240" w:lineRule="auto"/>
        <w:jc w:val="both"/>
        <w:rPr>
          <w:rFonts w:cs="Helvetica"/>
          <w:b/>
          <w:color w:val="14171A"/>
        </w:rPr>
      </w:pPr>
      <w:r w:rsidRPr="00F9625E">
        <w:rPr>
          <w:rFonts w:cs="Helvetica"/>
          <w:b/>
          <w:color w:val="14171A"/>
        </w:rPr>
        <w:t>Wybuch epidemii</w:t>
      </w:r>
      <w:r>
        <w:rPr>
          <w:rFonts w:cs="Helvetica"/>
          <w:color w:val="14171A"/>
        </w:rPr>
        <w:t xml:space="preserve"> koronawirusa w Chinach nastąpił w momencie</w:t>
      </w:r>
      <w:r w:rsidR="000B5CFC">
        <w:rPr>
          <w:rFonts w:cs="Helvetica"/>
          <w:color w:val="14171A"/>
        </w:rPr>
        <w:t>,</w:t>
      </w:r>
      <w:r>
        <w:rPr>
          <w:rFonts w:cs="Helvetica"/>
          <w:color w:val="14171A"/>
        </w:rPr>
        <w:t xml:space="preserve"> gdy</w:t>
      </w:r>
      <w:r w:rsidR="000B5CFC">
        <w:rPr>
          <w:rFonts w:cs="Helvetica"/>
          <w:color w:val="14171A"/>
        </w:rPr>
        <w:t xml:space="preserve"> w relacjach pomiędzy Waszyngtonem i Pekinem trwało „</w:t>
      </w:r>
      <w:r w:rsidR="000B5CFC" w:rsidRPr="00F9625E">
        <w:rPr>
          <w:rFonts w:cs="Helvetica"/>
          <w:b/>
          <w:color w:val="14171A"/>
        </w:rPr>
        <w:t>zawieszenie broni</w:t>
      </w:r>
      <w:r w:rsidR="000B5CFC">
        <w:rPr>
          <w:rFonts w:cs="Helvetica"/>
          <w:color w:val="14171A"/>
        </w:rPr>
        <w:t xml:space="preserve">” po zawarciu pierwszej fazy porozumienia handlowego, prezentowanej jako kluczowe osiągnięcie administracji </w:t>
      </w:r>
      <w:proofErr w:type="spellStart"/>
      <w:r w:rsidR="000B5CFC">
        <w:rPr>
          <w:rFonts w:cs="Helvetica"/>
          <w:color w:val="14171A"/>
        </w:rPr>
        <w:t>Trumpa</w:t>
      </w:r>
      <w:proofErr w:type="spellEnd"/>
      <w:r w:rsidR="000B5CFC">
        <w:rPr>
          <w:rFonts w:cs="Helvetica"/>
          <w:color w:val="14171A"/>
        </w:rPr>
        <w:t xml:space="preserve"> w sferze gospodarczej. Wkrótce jednak spowodowane epidemią </w:t>
      </w:r>
      <w:r w:rsidR="000B5CFC" w:rsidRPr="00F9625E">
        <w:rPr>
          <w:rFonts w:cs="Helvetica"/>
          <w:b/>
          <w:color w:val="14171A"/>
        </w:rPr>
        <w:t>ograniczenie produkcji przemysłowej w Chinach zaczęło przekładać się na problemy w dostawach niektórych produktów i komponentów do Stanów Zjednoczonych.</w:t>
      </w:r>
      <w:r w:rsidR="000B5CFC">
        <w:rPr>
          <w:rFonts w:cs="Helvetica"/>
          <w:color w:val="14171A"/>
        </w:rPr>
        <w:t xml:space="preserve"> Sytuacja ta szybko unaoczniła, jak mimo wprowadzonych dotychczas ceł i </w:t>
      </w:r>
      <w:r w:rsidR="000B5CFC" w:rsidRPr="00F9625E">
        <w:rPr>
          <w:rFonts w:cs="Helvetica"/>
          <w:color w:val="14171A"/>
        </w:rPr>
        <w:t>ograniczeń, nadal wysokie pozostaje uzależnienie amerykańskiej gospodarki od dostaw z Chi</w:t>
      </w:r>
      <w:r w:rsidR="00E85072" w:rsidRPr="00F9625E">
        <w:rPr>
          <w:rFonts w:cs="Helvetica"/>
          <w:color w:val="14171A"/>
        </w:rPr>
        <w:t>n.</w:t>
      </w:r>
      <w:r w:rsidR="00E85072">
        <w:rPr>
          <w:rFonts w:cs="Helvetica"/>
          <w:color w:val="14171A"/>
        </w:rPr>
        <w:t xml:space="preserve"> Dotyczyło to nie tylko wielu podstawowych produktów medycznych i środków ochrony osobistej, </w:t>
      </w:r>
      <w:proofErr w:type="gramStart"/>
      <w:r w:rsidR="00E85072">
        <w:rPr>
          <w:rFonts w:cs="Helvetica"/>
          <w:color w:val="14171A"/>
        </w:rPr>
        <w:t>zapotrzebowanie</w:t>
      </w:r>
      <w:proofErr w:type="gramEnd"/>
      <w:r w:rsidR="00E85072">
        <w:rPr>
          <w:rFonts w:cs="Helvetica"/>
          <w:color w:val="14171A"/>
        </w:rPr>
        <w:t xml:space="preserve"> na które miało w kolejnych dniach gwałtownie wzrosnąć, ale także m.in. substancji </w:t>
      </w:r>
      <w:r w:rsidR="00A604C4">
        <w:rPr>
          <w:rFonts w:cs="Helvetica"/>
          <w:color w:val="14171A"/>
        </w:rPr>
        <w:t>aktywnych</w:t>
      </w:r>
      <w:r w:rsidR="00E85072">
        <w:rPr>
          <w:rFonts w:cs="Helvetica"/>
          <w:color w:val="14171A"/>
        </w:rPr>
        <w:t xml:space="preserve"> wykorzystywanych w produkcji leków. W tym ostatnim przypadku okazało się, że </w:t>
      </w:r>
      <w:r w:rsidR="00E85072" w:rsidRPr="00F9625E">
        <w:rPr>
          <w:rFonts w:cs="Helvetica"/>
          <w:b/>
          <w:color w:val="14171A"/>
        </w:rPr>
        <w:t xml:space="preserve">uzależnienie amerykańskiej branży farmaceutycznej od importu substancji </w:t>
      </w:r>
      <w:r w:rsidR="00A604C4" w:rsidRPr="00F9625E">
        <w:rPr>
          <w:rFonts w:cs="Helvetica"/>
          <w:b/>
          <w:color w:val="14171A"/>
        </w:rPr>
        <w:t>aktywn</w:t>
      </w:r>
      <w:r w:rsidR="00E85072" w:rsidRPr="00F9625E">
        <w:rPr>
          <w:rFonts w:cs="Helvetica"/>
          <w:b/>
          <w:color w:val="14171A"/>
        </w:rPr>
        <w:t xml:space="preserve">ych </w:t>
      </w:r>
      <w:r w:rsidR="0021476C" w:rsidRPr="00F9625E">
        <w:rPr>
          <w:rFonts w:cs="Helvetica"/>
          <w:b/>
          <w:color w:val="14171A"/>
        </w:rPr>
        <w:t xml:space="preserve">i leków generycznych </w:t>
      </w:r>
      <w:r w:rsidR="00E85072" w:rsidRPr="00F9625E">
        <w:rPr>
          <w:rFonts w:cs="Helvetica"/>
          <w:b/>
          <w:color w:val="14171A"/>
        </w:rPr>
        <w:t xml:space="preserve">z Chin może sięgać nawet 80%. </w:t>
      </w:r>
    </w:p>
    <w:p w:rsidR="00692F43" w:rsidRDefault="0026670E" w:rsidP="00C21699">
      <w:pPr>
        <w:spacing w:after="120" w:line="240" w:lineRule="auto"/>
        <w:jc w:val="both"/>
        <w:rPr>
          <w:rFonts w:cs="Helvetica"/>
          <w:color w:val="14171A"/>
        </w:rPr>
      </w:pPr>
      <w:r>
        <w:rPr>
          <w:rFonts w:cs="Helvetica"/>
          <w:color w:val="14171A"/>
        </w:rPr>
        <w:lastRenderedPageBreak/>
        <w:t>Biały Dom</w:t>
      </w:r>
      <w:r w:rsidR="000825AF">
        <w:rPr>
          <w:rFonts w:cs="Helvetica"/>
          <w:color w:val="14171A"/>
        </w:rPr>
        <w:t xml:space="preserve"> wkrótce ogłosił, że planuje przyjęcie </w:t>
      </w:r>
      <w:r w:rsidR="000825AF" w:rsidRPr="00F9625E">
        <w:rPr>
          <w:rFonts w:cs="Helvetica"/>
          <w:b/>
          <w:color w:val="14171A"/>
        </w:rPr>
        <w:t>zarządzenia mającego na celu rozpoczęcie przenoszenia łańcucha dostaw produktów farmaceutycznych i medycznych do USA.</w:t>
      </w:r>
      <w:r w:rsidR="000825AF" w:rsidRPr="000825AF">
        <w:rPr>
          <w:rFonts w:cs="Helvetica"/>
          <w:color w:val="14171A"/>
        </w:rPr>
        <w:t xml:space="preserve"> Zarządzenie </w:t>
      </w:r>
      <w:r w:rsidR="000825AF">
        <w:rPr>
          <w:rFonts w:cs="Helvetica"/>
          <w:color w:val="14171A"/>
        </w:rPr>
        <w:t xml:space="preserve">miało </w:t>
      </w:r>
      <w:r w:rsidR="000825AF" w:rsidRPr="000825AF">
        <w:rPr>
          <w:rFonts w:cs="Helvetica"/>
          <w:color w:val="14171A"/>
        </w:rPr>
        <w:t>zawierać wymagania „</w:t>
      </w:r>
      <w:proofErr w:type="spellStart"/>
      <w:r w:rsidR="000825AF" w:rsidRPr="00F9625E">
        <w:rPr>
          <w:rFonts w:cs="Helvetica"/>
          <w:b/>
          <w:color w:val="14171A"/>
        </w:rPr>
        <w:t>Buy</w:t>
      </w:r>
      <w:proofErr w:type="spellEnd"/>
      <w:r w:rsidR="000825AF" w:rsidRPr="00F9625E">
        <w:rPr>
          <w:rFonts w:cs="Helvetica"/>
          <w:b/>
          <w:color w:val="14171A"/>
        </w:rPr>
        <w:t xml:space="preserve"> American</w:t>
      </w:r>
      <w:r w:rsidR="000825AF" w:rsidRPr="000825AF">
        <w:rPr>
          <w:rFonts w:cs="Helvetica"/>
          <w:color w:val="14171A"/>
        </w:rPr>
        <w:t>”, zobowiązujące amerykańskie agencje rządowe, w szczególności Departament Zdrowia i Opieki Społecznej oraz Departament ds. Weteranów</w:t>
      </w:r>
      <w:r w:rsidR="000825AF">
        <w:rPr>
          <w:rFonts w:cs="Helvetica"/>
          <w:color w:val="14171A"/>
        </w:rPr>
        <w:t>,</w:t>
      </w:r>
      <w:r w:rsidR="000825AF" w:rsidRPr="000825AF">
        <w:rPr>
          <w:rFonts w:cs="Helvetica"/>
          <w:color w:val="14171A"/>
        </w:rPr>
        <w:t xml:space="preserve"> do zakupu produktów </w:t>
      </w:r>
      <w:r w:rsidR="00F9625E">
        <w:rPr>
          <w:rFonts w:cs="Helvetica"/>
          <w:color w:val="14171A"/>
        </w:rPr>
        <w:t xml:space="preserve">medycznych wytwarzanych w USA. </w:t>
      </w:r>
      <w:r w:rsidR="00FB6EA4">
        <w:rPr>
          <w:rFonts w:cs="Helvetica"/>
          <w:color w:val="14171A"/>
        </w:rPr>
        <w:t xml:space="preserve">Przyjęty kierunek myślenia nie stanowił zaskoczenia, gdyż oprócz elementu twardej postawy wobec Chin, uwzględniał inną sztandarową koncepcję obecnej administracji amerykańskiej, a mianowicie postulat przenoszenia produkcji przemysłowej z powrotem do USA i odtwarzania </w:t>
      </w:r>
      <w:r w:rsidR="00692F43">
        <w:rPr>
          <w:rFonts w:cs="Helvetica"/>
          <w:color w:val="14171A"/>
        </w:rPr>
        <w:t xml:space="preserve">dobrze płatnych i stabilnych </w:t>
      </w:r>
      <w:r w:rsidR="00FB6EA4">
        <w:rPr>
          <w:rFonts w:cs="Helvetica"/>
          <w:color w:val="14171A"/>
        </w:rPr>
        <w:t>miejsc pracy</w:t>
      </w:r>
      <w:r w:rsidR="00692F43">
        <w:rPr>
          <w:rFonts w:cs="Helvetica"/>
          <w:color w:val="14171A"/>
        </w:rPr>
        <w:t>.</w:t>
      </w:r>
    </w:p>
    <w:p w:rsidR="00F9625E" w:rsidRDefault="00FB6EA4" w:rsidP="00C21699">
      <w:pPr>
        <w:spacing w:after="120" w:line="240" w:lineRule="auto"/>
        <w:jc w:val="both"/>
        <w:rPr>
          <w:rFonts w:cs="Helvetica"/>
          <w:color w:val="14171A"/>
        </w:rPr>
      </w:pPr>
      <w:r>
        <w:rPr>
          <w:rFonts w:cs="Helvetica"/>
          <w:color w:val="14171A"/>
        </w:rPr>
        <w:t>Proponowana regulacja wywołała jednak dyskusję</w:t>
      </w:r>
      <w:r w:rsidR="00692F43">
        <w:rPr>
          <w:rFonts w:cs="Helvetica"/>
          <w:color w:val="14171A"/>
        </w:rPr>
        <w:t xml:space="preserve"> i falę głosów krytycznych, ze strony ekonomistów, przedstawicieli biznesu, jak i w kręgach Partii Republikańskiej. Argumentowano, że choć uzależnienie od dostaw z jednego kierunku z pewnością wymaga reakcji, to jednak podejmowanie działań na rzecz przenoszenia łańcuchów dostaw w trakcie trwania epidemii jest nieodpowiedzialne, gdyż może poważnie zaszkodzić międzynarodowemu przepływowi leków i produktów medycznych, z negatywnym skutkiem również dla amerykańskiego społeczeństwa. Niektórzy eksperci kwestionowali, czy w ogóle należy ingerować</w:t>
      </w:r>
      <w:r w:rsidR="00242414">
        <w:rPr>
          <w:rFonts w:cs="Helvetica"/>
          <w:color w:val="14171A"/>
        </w:rPr>
        <w:t xml:space="preserve"> w istniejące łańcuchy dostaw w celu zaspokojenia niedoborów strategicznych produktów medycznych. Wskazywali, że dużo lepszym i tańszym sposobem jest uzupełnienie strategicznych zapasów poprzez import tanich produktów z zagranicy. </w:t>
      </w:r>
      <w:r w:rsidR="00BB29ED">
        <w:rPr>
          <w:rFonts w:cs="Helvetica"/>
          <w:color w:val="14171A"/>
        </w:rPr>
        <w:t xml:space="preserve">Prawdopodobnie w wyniku tej dyskusji powyższa </w:t>
      </w:r>
      <w:r w:rsidR="00BB29ED" w:rsidRPr="00F9625E">
        <w:rPr>
          <w:rFonts w:cs="Helvetica"/>
          <w:b/>
          <w:color w:val="14171A"/>
        </w:rPr>
        <w:t xml:space="preserve">regulacja nie została do tej pory przyjęta, a z Białego Domu docierają sygnały, iż prace nad nią zostaną </w:t>
      </w:r>
      <w:r w:rsidR="00A604C4" w:rsidRPr="00F9625E">
        <w:rPr>
          <w:rFonts w:cs="Helvetica"/>
          <w:b/>
          <w:color w:val="14171A"/>
        </w:rPr>
        <w:t xml:space="preserve">wznowione </w:t>
      </w:r>
      <w:r w:rsidR="00BB29ED" w:rsidRPr="00F9625E">
        <w:rPr>
          <w:rFonts w:cs="Helvetica"/>
          <w:b/>
          <w:color w:val="14171A"/>
        </w:rPr>
        <w:t>dopiero po zakończeniu pandemii.</w:t>
      </w:r>
      <w:r w:rsidR="00BB29ED">
        <w:rPr>
          <w:rFonts w:cs="Helvetica"/>
          <w:color w:val="14171A"/>
        </w:rPr>
        <w:t xml:space="preserve"> Te</w:t>
      </w:r>
      <w:r w:rsidR="007D443A">
        <w:rPr>
          <w:rFonts w:cs="Helvetica"/>
          <w:color w:val="14171A"/>
        </w:rPr>
        <w:t>mat z całą pewnością nie zniknie</w:t>
      </w:r>
      <w:r w:rsidR="00E419D9">
        <w:rPr>
          <w:rFonts w:cs="Helvetica"/>
          <w:color w:val="14171A"/>
        </w:rPr>
        <w:t xml:space="preserve"> i będzie się pojawiał podczas</w:t>
      </w:r>
      <w:r w:rsidR="007D443A">
        <w:rPr>
          <w:rFonts w:cs="Helvetica"/>
          <w:color w:val="14171A"/>
        </w:rPr>
        <w:t xml:space="preserve"> trwającej kampanii wyborczej. </w:t>
      </w:r>
    </w:p>
    <w:p w:rsidR="00CF5BD0" w:rsidRPr="008C48FB" w:rsidRDefault="00CF5BD0" w:rsidP="00C21699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Rozwój pandemii COVID-19 i jej negatywne skutki dla amerykańskiej gospodarki wywołały także </w:t>
      </w:r>
      <w:r w:rsidRPr="00F9625E">
        <w:rPr>
          <w:rFonts w:cs="Times New Roman"/>
          <w:b/>
        </w:rPr>
        <w:t>dyskusję, czy nie należy czasowo zawiesić poboru dodatkowych ceł nałożonych na import z Chin</w:t>
      </w:r>
      <w:r>
        <w:rPr>
          <w:rFonts w:cs="Times New Roman"/>
        </w:rPr>
        <w:t xml:space="preserve">, aby z jednej strony zwiększyć dostępność potrzebnych towarów na rynku, a z drugiej zmniejszyć obciążenia amerykańskich przedsiębiorstw sprowadzających towary z Chin. </w:t>
      </w:r>
      <w:r w:rsidR="00383CCE">
        <w:rPr>
          <w:rFonts w:cs="Times New Roman"/>
        </w:rPr>
        <w:t xml:space="preserve">USTR </w:t>
      </w:r>
      <w:r w:rsidR="00E00A97">
        <w:rPr>
          <w:rFonts w:cs="Times New Roman"/>
        </w:rPr>
        <w:t xml:space="preserve">wydał w związku z tym oświadczenie, w którym stwierdza, że </w:t>
      </w:r>
      <w:r w:rsidR="00E00A97" w:rsidRPr="00E00A97">
        <w:rPr>
          <w:rFonts w:cs="Times New Roman"/>
        </w:rPr>
        <w:t>w ramach dotychczasowych działań wobec Chin (postępowanie wg tzw. sekcji 301), których skutkiem było nałożenie ceł na wybrane towary z tego kraju, kierowano się zasadą, aby nie wprowadzać dodatkowych ograniczeń na import „produktów krytycznych”, takich jak respiratory czy maski tlenowe. Ponadto, w ciągu ostatniego roku USTR udzielił zwolnień z obowiązujących ceł na import dużej grupy produktów związanych z ochroną zdrowia.</w:t>
      </w:r>
      <w:r w:rsidR="00DC44AD">
        <w:rPr>
          <w:rFonts w:cs="Times New Roman"/>
        </w:rPr>
        <w:t xml:space="preserve"> USTR otworzył </w:t>
      </w:r>
      <w:r w:rsidR="00270671">
        <w:rPr>
          <w:rFonts w:cs="Times New Roman"/>
        </w:rPr>
        <w:t xml:space="preserve">co prawda </w:t>
      </w:r>
      <w:r w:rsidR="00DC44AD">
        <w:rPr>
          <w:rFonts w:cs="Times New Roman"/>
        </w:rPr>
        <w:t xml:space="preserve">możliwość </w:t>
      </w:r>
      <w:r w:rsidR="00DC44AD" w:rsidRPr="00DC44AD">
        <w:rPr>
          <w:rFonts w:cs="Times New Roman"/>
        </w:rPr>
        <w:t>zgłaszania publicznych komentarzy w zakresie potrzeby dalszej modyfikacji listy towarów importowanych z Chin, objętych dodatkowymi cłami</w:t>
      </w:r>
      <w:r w:rsidR="00DC44AD">
        <w:rPr>
          <w:rFonts w:cs="Times New Roman"/>
        </w:rPr>
        <w:t xml:space="preserve">, jednak </w:t>
      </w:r>
      <w:r w:rsidR="00DC44AD" w:rsidRPr="00F9625E">
        <w:rPr>
          <w:rFonts w:cs="Times New Roman"/>
          <w:b/>
        </w:rPr>
        <w:t xml:space="preserve">odrzucił możliwość generalnego zawieszenia </w:t>
      </w:r>
      <w:r w:rsidR="00270671" w:rsidRPr="00F9625E">
        <w:rPr>
          <w:rFonts w:cs="Times New Roman"/>
          <w:b/>
        </w:rPr>
        <w:t xml:space="preserve">poboru </w:t>
      </w:r>
      <w:r w:rsidR="00DC44AD" w:rsidRPr="00F9625E">
        <w:rPr>
          <w:rFonts w:cs="Times New Roman"/>
          <w:b/>
        </w:rPr>
        <w:t>dodatkowych ceł na towary z tego kraju</w:t>
      </w:r>
      <w:r w:rsidR="00DC44AD">
        <w:rPr>
          <w:rFonts w:cs="Times New Roman"/>
        </w:rPr>
        <w:t>.</w:t>
      </w:r>
    </w:p>
    <w:p w:rsidR="00B26996" w:rsidRDefault="00D43DEE" w:rsidP="005C3B31">
      <w:pPr>
        <w:spacing w:after="120" w:line="240" w:lineRule="auto"/>
        <w:jc w:val="both"/>
        <w:rPr>
          <w:rFonts w:cs="Times New Roman"/>
          <w:b/>
        </w:rPr>
      </w:pPr>
      <w:r w:rsidRPr="00D43DEE">
        <w:rPr>
          <w:rFonts w:cs="Times New Roman"/>
          <w:b/>
        </w:rPr>
        <w:t>P</w:t>
      </w:r>
      <w:r w:rsidR="00CA3841">
        <w:rPr>
          <w:rFonts w:cs="Times New Roman"/>
          <w:b/>
        </w:rPr>
        <w:t xml:space="preserve">otencjalny </w:t>
      </w:r>
      <w:r w:rsidR="00650F34">
        <w:rPr>
          <w:rFonts w:cs="Times New Roman"/>
          <w:b/>
        </w:rPr>
        <w:t>w</w:t>
      </w:r>
      <w:r w:rsidR="00CA3841">
        <w:rPr>
          <w:rFonts w:cs="Times New Roman"/>
          <w:b/>
        </w:rPr>
        <w:t>pływ</w:t>
      </w:r>
      <w:r>
        <w:rPr>
          <w:rFonts w:cs="Times New Roman"/>
          <w:b/>
        </w:rPr>
        <w:t xml:space="preserve"> na </w:t>
      </w:r>
      <w:r w:rsidRPr="00D43DEE">
        <w:rPr>
          <w:rFonts w:cs="Times New Roman"/>
          <w:b/>
        </w:rPr>
        <w:t>polityk</w:t>
      </w:r>
      <w:r>
        <w:rPr>
          <w:rFonts w:cs="Times New Roman"/>
          <w:b/>
        </w:rPr>
        <w:t>ę</w:t>
      </w:r>
      <w:r w:rsidRPr="00D43DEE">
        <w:rPr>
          <w:rFonts w:cs="Times New Roman"/>
          <w:b/>
        </w:rPr>
        <w:t xml:space="preserve"> USA</w:t>
      </w:r>
    </w:p>
    <w:p w:rsidR="005C3B31" w:rsidRDefault="00D43DEE" w:rsidP="005C3B31">
      <w:pPr>
        <w:spacing w:after="120" w:line="240" w:lineRule="auto"/>
        <w:jc w:val="both"/>
        <w:rPr>
          <w:rFonts w:cs="Times New Roman"/>
        </w:rPr>
      </w:pPr>
      <w:r w:rsidRPr="00D43DEE">
        <w:rPr>
          <w:rFonts w:cs="Times New Roman"/>
        </w:rPr>
        <w:t xml:space="preserve">W </w:t>
      </w:r>
      <w:r w:rsidR="00803198">
        <w:rPr>
          <w:rFonts w:cs="Times New Roman"/>
        </w:rPr>
        <w:t xml:space="preserve">oparciu o dotychczasowe wypowiedzi amerykańskich polityków oraz komentatorów </w:t>
      </w:r>
      <w:r w:rsidR="00CA3841">
        <w:rPr>
          <w:rFonts w:cs="Times New Roman"/>
        </w:rPr>
        <w:t>można wskazać pewne nowe zjawiska, które mogą (ale nie muszą) pojawić się jako konsekwencja pandemii i powstałych na jej tle napięć mi</w:t>
      </w:r>
      <w:r w:rsidR="00735E83">
        <w:rPr>
          <w:rFonts w:cs="Times New Roman"/>
        </w:rPr>
        <w:t>ę</w:t>
      </w:r>
      <w:r w:rsidR="00CA3841">
        <w:rPr>
          <w:rFonts w:cs="Times New Roman"/>
        </w:rPr>
        <w:t>dzy Waszyngtonem i Pekinem</w:t>
      </w:r>
      <w:r w:rsidR="00650F34">
        <w:rPr>
          <w:rFonts w:cs="Times New Roman"/>
        </w:rPr>
        <w:t>.</w:t>
      </w:r>
    </w:p>
    <w:p w:rsidR="00CF3434" w:rsidRPr="005C3B31" w:rsidRDefault="00735E83" w:rsidP="00650F34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Należy </w:t>
      </w:r>
      <w:r w:rsidR="005C3B31">
        <w:rPr>
          <w:rFonts w:cs="Times New Roman"/>
        </w:rPr>
        <w:t>spodziewać się d</w:t>
      </w:r>
      <w:r w:rsidR="00D43DEE" w:rsidRPr="00803198">
        <w:rPr>
          <w:rFonts w:cs="Times New Roman"/>
        </w:rPr>
        <w:t>alsze</w:t>
      </w:r>
      <w:r w:rsidR="005C3B31">
        <w:rPr>
          <w:rFonts w:cs="Times New Roman"/>
        </w:rPr>
        <w:t>go</w:t>
      </w:r>
      <w:r w:rsidR="00D43DEE" w:rsidRPr="00803198">
        <w:rPr>
          <w:rFonts w:cs="Times New Roman"/>
        </w:rPr>
        <w:t xml:space="preserve"> </w:t>
      </w:r>
      <w:r w:rsidR="00D43DEE" w:rsidRPr="00F9625E">
        <w:rPr>
          <w:rFonts w:cs="Times New Roman"/>
          <w:b/>
        </w:rPr>
        <w:t>wzmocnieni</w:t>
      </w:r>
      <w:r w:rsidR="005C3B31" w:rsidRPr="00F9625E">
        <w:rPr>
          <w:rFonts w:cs="Times New Roman"/>
          <w:b/>
        </w:rPr>
        <w:t>a</w:t>
      </w:r>
      <w:r w:rsidR="00D43DEE" w:rsidRPr="00F9625E">
        <w:rPr>
          <w:rFonts w:cs="Times New Roman"/>
          <w:b/>
        </w:rPr>
        <w:t xml:space="preserve"> przekonania wśród amerykańskich elit politycznych (także Demokratów), że Chiny pozostają głównym wyzwaniem dla </w:t>
      </w:r>
      <w:r w:rsidR="00D43DEE" w:rsidRPr="00F9625E">
        <w:rPr>
          <w:rFonts w:cs="Times New Roman"/>
          <w:b/>
        </w:rPr>
        <w:lastRenderedPageBreak/>
        <w:t>bezpieczeństwa i interesów</w:t>
      </w:r>
      <w:r w:rsidR="00803198" w:rsidRPr="00F9625E">
        <w:rPr>
          <w:rFonts w:cs="Times New Roman"/>
          <w:b/>
        </w:rPr>
        <w:t xml:space="preserve"> USA</w:t>
      </w:r>
      <w:r w:rsidR="000E5A49">
        <w:rPr>
          <w:rFonts w:cs="Times New Roman"/>
        </w:rPr>
        <w:t xml:space="preserve">. Głosy docierające z niektórych krajów europejskich o niedostatecznej roli USA w globalnej walce z pandemią mogą </w:t>
      </w:r>
      <w:r w:rsidR="005C3B31" w:rsidRPr="00F9625E">
        <w:rPr>
          <w:rFonts w:cs="Times New Roman"/>
          <w:b/>
        </w:rPr>
        <w:t xml:space="preserve">ugruntować </w:t>
      </w:r>
      <w:r w:rsidR="000E5A49" w:rsidRPr="00F9625E">
        <w:rPr>
          <w:rFonts w:cs="Times New Roman"/>
          <w:b/>
        </w:rPr>
        <w:t xml:space="preserve">przekonanie o zagrożeniach ze strony Chin dla </w:t>
      </w:r>
      <w:r w:rsidR="002C1C8E" w:rsidRPr="00F9625E">
        <w:rPr>
          <w:rFonts w:cs="Times New Roman"/>
          <w:b/>
        </w:rPr>
        <w:t>globalnego przywództwa Ameryki</w:t>
      </w:r>
      <w:r w:rsidR="00650F34">
        <w:rPr>
          <w:rFonts w:cs="Times New Roman"/>
        </w:rPr>
        <w:t xml:space="preserve">. </w:t>
      </w:r>
      <w:r w:rsidR="0026670E">
        <w:rPr>
          <w:rFonts w:cs="Times New Roman"/>
        </w:rPr>
        <w:t>P</w:t>
      </w:r>
      <w:r w:rsidR="00CF3434" w:rsidRPr="00CF3434">
        <w:rPr>
          <w:rFonts w:cs="Times New Roman"/>
        </w:rPr>
        <w:t>rzeds</w:t>
      </w:r>
      <w:r w:rsidR="0026670E">
        <w:rPr>
          <w:rFonts w:cs="Times New Roman"/>
        </w:rPr>
        <w:t>tawiciel komisji sił zbrojnych Izby R</w:t>
      </w:r>
      <w:r w:rsidR="00CF3434" w:rsidRPr="00CF3434">
        <w:rPr>
          <w:rFonts w:cs="Times New Roman"/>
        </w:rPr>
        <w:t xml:space="preserve">eprezentantów HASC (House </w:t>
      </w:r>
      <w:proofErr w:type="spellStart"/>
      <w:r w:rsidR="00CF3434" w:rsidRPr="00CF3434">
        <w:rPr>
          <w:rFonts w:cs="Times New Roman"/>
        </w:rPr>
        <w:t>Armed</w:t>
      </w:r>
      <w:proofErr w:type="spellEnd"/>
      <w:r w:rsidR="00CF3434" w:rsidRPr="00CF3434">
        <w:rPr>
          <w:rFonts w:cs="Times New Roman"/>
        </w:rPr>
        <w:t xml:space="preserve"> Services </w:t>
      </w:r>
      <w:proofErr w:type="spellStart"/>
      <w:r w:rsidR="00CF3434" w:rsidRPr="00CF3434">
        <w:rPr>
          <w:rFonts w:cs="Times New Roman"/>
        </w:rPr>
        <w:t>C</w:t>
      </w:r>
      <w:r w:rsidR="0026670E">
        <w:rPr>
          <w:rFonts w:cs="Times New Roman"/>
        </w:rPr>
        <w:t>ommittee</w:t>
      </w:r>
      <w:proofErr w:type="spellEnd"/>
      <w:r w:rsidR="0026670E">
        <w:rPr>
          <w:rFonts w:cs="Times New Roman"/>
        </w:rPr>
        <w:t>), kongresman Mac</w:t>
      </w:r>
      <w:r w:rsidR="00CF3434">
        <w:rPr>
          <w:rFonts w:cs="Times New Roman"/>
        </w:rPr>
        <w:t xml:space="preserve"> </w:t>
      </w:r>
      <w:proofErr w:type="spellStart"/>
      <w:r w:rsidR="00CF3434">
        <w:rPr>
          <w:rFonts w:cs="Times New Roman"/>
        </w:rPr>
        <w:t>Thornberry</w:t>
      </w:r>
      <w:proofErr w:type="spellEnd"/>
      <w:r w:rsidR="0026670E">
        <w:rPr>
          <w:rFonts w:cs="Times New Roman"/>
        </w:rPr>
        <w:t xml:space="preserve"> (R – Teksas)</w:t>
      </w:r>
      <w:r w:rsidR="00CF3434">
        <w:rPr>
          <w:rFonts w:cs="Times New Roman"/>
        </w:rPr>
        <w:t xml:space="preserve">, złożył </w:t>
      </w:r>
      <w:r w:rsidR="00CF3434" w:rsidRPr="00CF3434">
        <w:rPr>
          <w:rFonts w:cs="Times New Roman"/>
        </w:rPr>
        <w:t xml:space="preserve">projekt ustawy dotyczącej </w:t>
      </w:r>
      <w:r w:rsidR="00CF3434" w:rsidRPr="0026670E">
        <w:rPr>
          <w:rFonts w:cs="Times New Roman"/>
          <w:b/>
        </w:rPr>
        <w:t>utworzenia pierwszego w historii specjalnego funduszu obronnego w celu wzmocnienia strategii odstraszania wobec Chin na Pacyfiku</w:t>
      </w:r>
      <w:r w:rsidR="00CF3434">
        <w:rPr>
          <w:rFonts w:cs="Times New Roman"/>
        </w:rPr>
        <w:t>.</w:t>
      </w:r>
      <w:r w:rsidR="00CF3434" w:rsidRPr="00CF3434">
        <w:rPr>
          <w:rFonts w:cs="Times New Roman"/>
        </w:rPr>
        <w:t xml:space="preserve"> Projekt ten stanowi odzwierciedlenie o</w:t>
      </w:r>
      <w:r w:rsidR="0026670E">
        <w:rPr>
          <w:rFonts w:cs="Times New Roman"/>
        </w:rPr>
        <w:t>czekiwań zarówno R</w:t>
      </w:r>
      <w:r w:rsidR="00CF3434">
        <w:rPr>
          <w:rFonts w:cs="Times New Roman"/>
        </w:rPr>
        <w:t xml:space="preserve">epublikanów, </w:t>
      </w:r>
      <w:r w:rsidR="0026670E">
        <w:rPr>
          <w:rFonts w:cs="Times New Roman"/>
        </w:rPr>
        <w:t>jak i D</w:t>
      </w:r>
      <w:r w:rsidR="00CF3434" w:rsidRPr="00CF3434">
        <w:rPr>
          <w:rFonts w:cs="Times New Roman"/>
        </w:rPr>
        <w:t xml:space="preserve">emokratów w zakresie natychmiastowego i zdecydowanego przeciwdziałania zagrożeniom powodowanym przez agresywną politykę Pekinu w tym regionie świata. Propozycja przewiduje </w:t>
      </w:r>
      <w:r w:rsidR="00CF3434" w:rsidRPr="0026670E">
        <w:rPr>
          <w:rFonts w:cs="Times New Roman"/>
          <w:b/>
        </w:rPr>
        <w:t xml:space="preserve">utworzenie </w:t>
      </w:r>
      <w:proofErr w:type="spellStart"/>
      <w:r w:rsidR="00CF3434" w:rsidRPr="0026670E">
        <w:rPr>
          <w:rFonts w:cs="Times New Roman"/>
          <w:b/>
        </w:rPr>
        <w:t>indo</w:t>
      </w:r>
      <w:proofErr w:type="spellEnd"/>
      <w:r w:rsidR="00CF3434" w:rsidRPr="0026670E">
        <w:rPr>
          <w:rFonts w:cs="Times New Roman"/>
          <w:b/>
        </w:rPr>
        <w:t>-pacyficznej inicjatywy odstraszania IPDI</w:t>
      </w:r>
      <w:r w:rsidR="00CF3434" w:rsidRPr="00CF3434">
        <w:rPr>
          <w:rFonts w:cs="Times New Roman"/>
        </w:rPr>
        <w:t xml:space="preserve"> (</w:t>
      </w:r>
      <w:proofErr w:type="spellStart"/>
      <w:r w:rsidR="00CF3434" w:rsidRPr="00CF3434">
        <w:rPr>
          <w:rFonts w:cs="Times New Roman"/>
        </w:rPr>
        <w:t>Indo</w:t>
      </w:r>
      <w:proofErr w:type="spellEnd"/>
      <w:r w:rsidR="00CF3434" w:rsidRPr="00CF3434">
        <w:rPr>
          <w:rFonts w:cs="Times New Roman"/>
        </w:rPr>
        <w:t xml:space="preserve">-Pacific </w:t>
      </w:r>
      <w:proofErr w:type="spellStart"/>
      <w:r w:rsidR="00CF3434" w:rsidRPr="00CF3434">
        <w:rPr>
          <w:rFonts w:cs="Times New Roman"/>
        </w:rPr>
        <w:t>Deterrence</w:t>
      </w:r>
      <w:proofErr w:type="spellEnd"/>
      <w:r w:rsidR="00CF3434" w:rsidRPr="00CF3434">
        <w:rPr>
          <w:rFonts w:cs="Times New Roman"/>
        </w:rPr>
        <w:t xml:space="preserve"> </w:t>
      </w:r>
      <w:proofErr w:type="spellStart"/>
      <w:r w:rsidR="00CF3434" w:rsidRPr="00CF3434">
        <w:rPr>
          <w:rFonts w:cs="Times New Roman"/>
        </w:rPr>
        <w:t>Initiative</w:t>
      </w:r>
      <w:proofErr w:type="spellEnd"/>
      <w:r w:rsidR="00CF3434" w:rsidRPr="00CF3434">
        <w:rPr>
          <w:rFonts w:cs="Times New Roman"/>
        </w:rPr>
        <w:t xml:space="preserve">), na wzór powołanej w 2014 r. w związku z inwazją </w:t>
      </w:r>
      <w:r w:rsidR="0026670E">
        <w:rPr>
          <w:rFonts w:cs="Times New Roman"/>
        </w:rPr>
        <w:t>Rosji</w:t>
      </w:r>
      <w:r w:rsidR="00CF3434" w:rsidRPr="00CF3434">
        <w:rPr>
          <w:rFonts w:cs="Times New Roman"/>
        </w:rPr>
        <w:t xml:space="preserve"> na Ukrainę, europejskiej strategii odstraszania EDI (</w:t>
      </w:r>
      <w:proofErr w:type="spellStart"/>
      <w:r w:rsidR="00CF3434" w:rsidRPr="00CF3434">
        <w:rPr>
          <w:rFonts w:cs="Times New Roman"/>
        </w:rPr>
        <w:t>European</w:t>
      </w:r>
      <w:proofErr w:type="spellEnd"/>
      <w:r w:rsidR="00CF3434" w:rsidRPr="00CF3434">
        <w:rPr>
          <w:rFonts w:cs="Times New Roman"/>
        </w:rPr>
        <w:t xml:space="preserve"> </w:t>
      </w:r>
      <w:proofErr w:type="spellStart"/>
      <w:r w:rsidR="00CF3434" w:rsidRPr="00CF3434">
        <w:rPr>
          <w:rFonts w:cs="Times New Roman"/>
        </w:rPr>
        <w:t>Defense</w:t>
      </w:r>
      <w:proofErr w:type="spellEnd"/>
      <w:r w:rsidR="00CF3434" w:rsidRPr="00CF3434">
        <w:rPr>
          <w:rFonts w:cs="Times New Roman"/>
        </w:rPr>
        <w:t xml:space="preserve"> </w:t>
      </w:r>
      <w:proofErr w:type="spellStart"/>
      <w:r w:rsidR="00CF3434" w:rsidRPr="00CF3434">
        <w:rPr>
          <w:rFonts w:cs="Times New Roman"/>
        </w:rPr>
        <w:t>Initiative</w:t>
      </w:r>
      <w:proofErr w:type="spellEnd"/>
      <w:r w:rsidR="00CF3434" w:rsidRPr="00CF3434">
        <w:rPr>
          <w:rFonts w:cs="Times New Roman"/>
        </w:rPr>
        <w:t xml:space="preserve">). W ramach budżetu w roku finansowym 2021 (Financial </w:t>
      </w:r>
      <w:proofErr w:type="spellStart"/>
      <w:r w:rsidR="00CF3434" w:rsidRPr="00CF3434">
        <w:rPr>
          <w:rFonts w:cs="Times New Roman"/>
        </w:rPr>
        <w:t>Year</w:t>
      </w:r>
      <w:proofErr w:type="spellEnd"/>
      <w:r w:rsidR="00CF3434" w:rsidRPr="00CF3434">
        <w:rPr>
          <w:rFonts w:cs="Times New Roman"/>
        </w:rPr>
        <w:t xml:space="preserve"> FY2021) na realizację IPDI planuje się przeznacz</w:t>
      </w:r>
      <w:r w:rsidR="0026670E">
        <w:rPr>
          <w:rFonts w:cs="Times New Roman"/>
        </w:rPr>
        <w:t>yć kwotę 6,09 mld USD.</w:t>
      </w:r>
    </w:p>
    <w:p w:rsidR="005E0EA4" w:rsidRPr="005C3B31" w:rsidRDefault="00650F34" w:rsidP="005C3B31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Strona amerykańska w dalszym ciągu podejmować będzie próby </w:t>
      </w:r>
      <w:r w:rsidRPr="00F9625E">
        <w:rPr>
          <w:rFonts w:cs="Times New Roman"/>
          <w:b/>
        </w:rPr>
        <w:t xml:space="preserve">wpłynięcia na międzynarodowe formaty wielostronne, w tym szczególnie NATO, aby te w większym stopniu zajęły </w:t>
      </w:r>
      <w:proofErr w:type="gramStart"/>
      <w:r w:rsidRPr="00F9625E">
        <w:rPr>
          <w:rFonts w:cs="Times New Roman"/>
          <w:b/>
        </w:rPr>
        <w:t>się  „</w:t>
      </w:r>
      <w:proofErr w:type="gramEnd"/>
      <w:r w:rsidRPr="00F9625E">
        <w:rPr>
          <w:rFonts w:cs="Times New Roman"/>
          <w:b/>
        </w:rPr>
        <w:t>problemem chińskim”.</w:t>
      </w:r>
      <w:r>
        <w:rPr>
          <w:rFonts w:cs="Times New Roman"/>
        </w:rPr>
        <w:t xml:space="preserve"> W odniesieniu do formatów ONZ-owskich Waszyngton będzie się przyglądał, czy nie są one pod nadmiernym wpływem Chin. </w:t>
      </w:r>
      <w:r w:rsidR="0026670E" w:rsidRPr="0026670E">
        <w:rPr>
          <w:rFonts w:cs="Times New Roman"/>
        </w:rPr>
        <w:t xml:space="preserve">Zwracana </w:t>
      </w:r>
      <w:r w:rsidR="0026670E">
        <w:rPr>
          <w:rFonts w:cs="Times New Roman"/>
        </w:rPr>
        <w:t xml:space="preserve">też </w:t>
      </w:r>
      <w:r w:rsidR="0026670E" w:rsidRPr="0026670E">
        <w:rPr>
          <w:rFonts w:cs="Times New Roman"/>
        </w:rPr>
        <w:t>będzie w większym stopniu niż dotychczas uwaga na aktywność propagandową/dezinformacyjną Chin.</w:t>
      </w:r>
    </w:p>
    <w:p w:rsidR="00D43DEE" w:rsidRPr="009720D7" w:rsidRDefault="00650F34" w:rsidP="005C3B31">
      <w:pPr>
        <w:spacing w:after="120" w:line="240" w:lineRule="auto"/>
        <w:jc w:val="both"/>
        <w:rPr>
          <w:rFonts w:cs="Times New Roman"/>
        </w:rPr>
      </w:pPr>
      <w:r w:rsidRPr="009720D7">
        <w:rPr>
          <w:rFonts w:cs="Times New Roman"/>
        </w:rPr>
        <w:t>Można oczekiwać s</w:t>
      </w:r>
      <w:r w:rsidR="00803198" w:rsidRPr="009720D7">
        <w:rPr>
          <w:rFonts w:cs="Times New Roman"/>
        </w:rPr>
        <w:t>twarzani</w:t>
      </w:r>
      <w:r w:rsidRPr="009720D7">
        <w:rPr>
          <w:rFonts w:cs="Times New Roman"/>
        </w:rPr>
        <w:t>a</w:t>
      </w:r>
      <w:r w:rsidR="00803198" w:rsidRPr="009720D7">
        <w:rPr>
          <w:rFonts w:cs="Times New Roman"/>
        </w:rPr>
        <w:t xml:space="preserve"> kolejnych </w:t>
      </w:r>
      <w:r w:rsidR="00803198" w:rsidRPr="00F9625E">
        <w:rPr>
          <w:rFonts w:cs="Times New Roman"/>
          <w:b/>
        </w:rPr>
        <w:t xml:space="preserve">zachęt dla amerykańskich firm do </w:t>
      </w:r>
      <w:r w:rsidR="002C1C8E" w:rsidRPr="00F9625E">
        <w:rPr>
          <w:rFonts w:cs="Times New Roman"/>
          <w:b/>
        </w:rPr>
        <w:t xml:space="preserve">przenoszenia swoich fabryk </w:t>
      </w:r>
      <w:r w:rsidR="005E656B" w:rsidRPr="00F9625E">
        <w:rPr>
          <w:rFonts w:cs="Times New Roman"/>
          <w:b/>
        </w:rPr>
        <w:t>z Chin</w:t>
      </w:r>
      <w:r w:rsidR="00735E83" w:rsidRPr="00F9625E">
        <w:rPr>
          <w:rFonts w:cs="Times New Roman"/>
          <w:b/>
        </w:rPr>
        <w:t xml:space="preserve"> (</w:t>
      </w:r>
      <w:r w:rsidR="005E656B" w:rsidRPr="00F9625E">
        <w:rPr>
          <w:rFonts w:cs="Times New Roman"/>
          <w:b/>
        </w:rPr>
        <w:t>ale także z innych państw</w:t>
      </w:r>
      <w:r w:rsidR="00735E83" w:rsidRPr="00F9625E">
        <w:rPr>
          <w:rFonts w:cs="Times New Roman"/>
          <w:b/>
        </w:rPr>
        <w:t>)</w:t>
      </w:r>
      <w:r w:rsidR="005E656B" w:rsidRPr="00F9625E">
        <w:rPr>
          <w:rFonts w:cs="Times New Roman"/>
          <w:b/>
        </w:rPr>
        <w:t xml:space="preserve"> </w:t>
      </w:r>
      <w:proofErr w:type="gramStart"/>
      <w:r w:rsidR="002C1C8E" w:rsidRPr="00F9625E">
        <w:rPr>
          <w:rFonts w:cs="Times New Roman"/>
          <w:b/>
        </w:rPr>
        <w:t xml:space="preserve">do </w:t>
      </w:r>
      <w:r w:rsidR="00803198" w:rsidRPr="00F9625E">
        <w:rPr>
          <w:rFonts w:cs="Times New Roman"/>
          <w:b/>
        </w:rPr>
        <w:t xml:space="preserve"> </w:t>
      </w:r>
      <w:r w:rsidR="00D43DEE" w:rsidRPr="00F9625E">
        <w:rPr>
          <w:rFonts w:cs="Times New Roman"/>
          <w:b/>
        </w:rPr>
        <w:t>USA</w:t>
      </w:r>
      <w:proofErr w:type="gramEnd"/>
      <w:r w:rsidR="00D43DEE" w:rsidRPr="009720D7">
        <w:rPr>
          <w:rFonts w:cs="Times New Roman"/>
        </w:rPr>
        <w:t xml:space="preserve"> </w:t>
      </w:r>
      <w:r w:rsidR="002C1C8E" w:rsidRPr="009720D7">
        <w:rPr>
          <w:rFonts w:cs="Times New Roman"/>
        </w:rPr>
        <w:t xml:space="preserve"> w celu </w:t>
      </w:r>
      <w:r w:rsidR="005E656B" w:rsidRPr="009720D7">
        <w:rPr>
          <w:rFonts w:cs="Times New Roman"/>
        </w:rPr>
        <w:t xml:space="preserve">zmniejszenia zależności od globalnych łańcuchów dostaw, a przy okazji </w:t>
      </w:r>
      <w:r w:rsidR="002C1C8E" w:rsidRPr="009720D7">
        <w:rPr>
          <w:rFonts w:cs="Times New Roman"/>
        </w:rPr>
        <w:t xml:space="preserve">tworzenia </w:t>
      </w:r>
      <w:r w:rsidR="00F95E85" w:rsidRPr="009720D7">
        <w:rPr>
          <w:rFonts w:cs="Times New Roman"/>
        </w:rPr>
        <w:t xml:space="preserve">dodatkowych </w:t>
      </w:r>
      <w:r w:rsidR="002C1C8E" w:rsidRPr="009720D7">
        <w:rPr>
          <w:rFonts w:cs="Times New Roman"/>
        </w:rPr>
        <w:t>miejsc pracy</w:t>
      </w:r>
      <w:r w:rsidR="00F95E85" w:rsidRPr="009720D7">
        <w:rPr>
          <w:rFonts w:cs="Times New Roman"/>
        </w:rPr>
        <w:t xml:space="preserve"> dla mieszkańców USA</w:t>
      </w:r>
      <w:r w:rsidR="002C1C8E" w:rsidRPr="009720D7">
        <w:rPr>
          <w:rFonts w:cs="Times New Roman"/>
        </w:rPr>
        <w:t xml:space="preserve"> </w:t>
      </w:r>
      <w:r w:rsidR="005E656B" w:rsidRPr="009720D7">
        <w:rPr>
          <w:rFonts w:cs="Times New Roman"/>
        </w:rPr>
        <w:t>(co wpisywać będzie się w główne postulaty „</w:t>
      </w:r>
      <w:proofErr w:type="spellStart"/>
      <w:r w:rsidR="005E656B" w:rsidRPr="009720D7">
        <w:rPr>
          <w:rFonts w:cs="Times New Roman"/>
        </w:rPr>
        <w:t>America</w:t>
      </w:r>
      <w:proofErr w:type="spellEnd"/>
      <w:r w:rsidR="005E656B" w:rsidRPr="009720D7">
        <w:rPr>
          <w:rFonts w:cs="Times New Roman"/>
        </w:rPr>
        <w:t xml:space="preserve"> First”)</w:t>
      </w:r>
      <w:r w:rsidR="00F95E85" w:rsidRPr="009720D7">
        <w:rPr>
          <w:rFonts w:cs="Times New Roman"/>
        </w:rPr>
        <w:t xml:space="preserve">. </w:t>
      </w:r>
    </w:p>
    <w:p w:rsidR="00B26996" w:rsidRDefault="00527C92" w:rsidP="00AD037C">
      <w:pPr>
        <w:spacing w:after="12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Znaczenie dla </w:t>
      </w:r>
      <w:r w:rsidR="00D43DEE">
        <w:rPr>
          <w:rFonts w:cs="Times New Roman"/>
          <w:b/>
        </w:rPr>
        <w:t>Polski</w:t>
      </w:r>
    </w:p>
    <w:p w:rsidR="00D43DEE" w:rsidRDefault="005E656B" w:rsidP="00AD037C">
      <w:pPr>
        <w:spacing w:after="120" w:line="240" w:lineRule="auto"/>
        <w:jc w:val="both"/>
        <w:rPr>
          <w:rFonts w:cs="Times New Roman"/>
          <w:b/>
        </w:rPr>
      </w:pPr>
      <w:r w:rsidRPr="005E656B">
        <w:rPr>
          <w:rFonts w:cs="Times New Roman"/>
        </w:rPr>
        <w:t>Powyższe</w:t>
      </w:r>
      <w:r w:rsidR="00951BC0">
        <w:rPr>
          <w:rFonts w:cs="Times New Roman"/>
        </w:rPr>
        <w:t>,</w:t>
      </w:r>
      <w:r w:rsidRPr="005E656B">
        <w:rPr>
          <w:rFonts w:cs="Times New Roman"/>
        </w:rPr>
        <w:t xml:space="preserve"> p</w:t>
      </w:r>
      <w:r w:rsidR="005C3B31" w:rsidRPr="005E656B">
        <w:rPr>
          <w:rFonts w:cs="Times New Roman"/>
        </w:rPr>
        <w:t>otencjalne</w:t>
      </w:r>
      <w:r w:rsidR="005C3B31" w:rsidRPr="005C3B31">
        <w:rPr>
          <w:rFonts w:cs="Times New Roman"/>
        </w:rPr>
        <w:t xml:space="preserve"> zmiany </w:t>
      </w:r>
      <w:r w:rsidR="005C3B31" w:rsidRPr="005E656B">
        <w:rPr>
          <w:rFonts w:cs="Times New Roman"/>
        </w:rPr>
        <w:t>w polityce amerykańskiej mogą mieć pośrednie</w:t>
      </w:r>
      <w:r w:rsidRPr="005E656B">
        <w:rPr>
          <w:rFonts w:cs="Times New Roman"/>
        </w:rPr>
        <w:t xml:space="preserve"> i bezpośrednie</w:t>
      </w:r>
      <w:r w:rsidR="005C3B31" w:rsidRPr="005E656B">
        <w:rPr>
          <w:rFonts w:cs="Times New Roman"/>
        </w:rPr>
        <w:t xml:space="preserve"> konsekwencje dla </w:t>
      </w:r>
      <w:r w:rsidRPr="005E656B">
        <w:rPr>
          <w:rFonts w:cs="Times New Roman"/>
        </w:rPr>
        <w:t>interesów Polski.</w:t>
      </w:r>
    </w:p>
    <w:p w:rsidR="00F95E85" w:rsidRDefault="00F95E85" w:rsidP="00AD037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Dalsze przesunięcie znaczenia Chin w amerykańskiej polityce</w:t>
      </w:r>
      <w:r w:rsidR="005E656B">
        <w:rPr>
          <w:rFonts w:cs="Times New Roman"/>
        </w:rPr>
        <w:t xml:space="preserve"> </w:t>
      </w:r>
      <w:r>
        <w:rPr>
          <w:rFonts w:cs="Times New Roman"/>
        </w:rPr>
        <w:t>zagranicznej oznacza</w:t>
      </w:r>
      <w:r w:rsidR="005E656B">
        <w:rPr>
          <w:rFonts w:cs="Times New Roman"/>
        </w:rPr>
        <w:t xml:space="preserve">ć może </w:t>
      </w:r>
      <w:r w:rsidRPr="00F9625E">
        <w:rPr>
          <w:rFonts w:cs="Times New Roman"/>
          <w:b/>
        </w:rPr>
        <w:t xml:space="preserve">relatywne </w:t>
      </w:r>
      <w:r w:rsidR="005E656B" w:rsidRPr="00F9625E">
        <w:rPr>
          <w:rFonts w:cs="Times New Roman"/>
          <w:b/>
        </w:rPr>
        <w:t>z</w:t>
      </w:r>
      <w:r w:rsidRPr="00F9625E">
        <w:rPr>
          <w:rFonts w:cs="Times New Roman"/>
          <w:b/>
        </w:rPr>
        <w:t>mniejsz</w:t>
      </w:r>
      <w:r w:rsidR="005E656B" w:rsidRPr="00F9625E">
        <w:rPr>
          <w:rFonts w:cs="Times New Roman"/>
          <w:b/>
        </w:rPr>
        <w:t xml:space="preserve">enie </w:t>
      </w:r>
      <w:r w:rsidRPr="00F9625E">
        <w:rPr>
          <w:rFonts w:cs="Times New Roman"/>
          <w:b/>
        </w:rPr>
        <w:t>uwag</w:t>
      </w:r>
      <w:r w:rsidR="005E656B" w:rsidRPr="00F9625E">
        <w:rPr>
          <w:rFonts w:cs="Times New Roman"/>
          <w:b/>
        </w:rPr>
        <w:t xml:space="preserve">i </w:t>
      </w:r>
      <w:r w:rsidRPr="00F9625E">
        <w:rPr>
          <w:rFonts w:cs="Times New Roman"/>
          <w:b/>
        </w:rPr>
        <w:t>poświęcan</w:t>
      </w:r>
      <w:r w:rsidR="005E656B" w:rsidRPr="00F9625E">
        <w:rPr>
          <w:rFonts w:cs="Times New Roman"/>
          <w:b/>
        </w:rPr>
        <w:t>ej dotychczas R</w:t>
      </w:r>
      <w:r w:rsidRPr="00F9625E">
        <w:rPr>
          <w:rFonts w:cs="Times New Roman"/>
          <w:b/>
        </w:rPr>
        <w:t>osji</w:t>
      </w:r>
      <w:r>
        <w:rPr>
          <w:rFonts w:cs="Times New Roman"/>
        </w:rPr>
        <w:t>.</w:t>
      </w:r>
      <w:r w:rsidR="005E656B">
        <w:rPr>
          <w:rFonts w:cs="Times New Roman"/>
        </w:rPr>
        <w:t xml:space="preserve"> Szczególnie dotyczyć to może obszaru „zmonopolizowanego” dotychczas przez Rosję, jakim jest dezinformacja i wywieranie wpływu. </w:t>
      </w:r>
      <w:r w:rsidR="00650F34">
        <w:rPr>
          <w:rFonts w:cs="Times New Roman"/>
        </w:rPr>
        <w:t xml:space="preserve">Mniejsza widoczność zagrożeń rosyjskich w amerykańskiej przestrzeni publicznej może </w:t>
      </w:r>
      <w:r w:rsidR="00951BC0">
        <w:rPr>
          <w:rFonts w:cs="Times New Roman"/>
        </w:rPr>
        <w:t>spowodować, że argumenty krajów wschodniej flanki NATO</w:t>
      </w:r>
      <w:r w:rsidR="00735E83">
        <w:rPr>
          <w:rFonts w:cs="Times New Roman"/>
        </w:rPr>
        <w:t>,</w:t>
      </w:r>
      <w:r w:rsidR="00951BC0">
        <w:rPr>
          <w:rFonts w:cs="Times New Roman"/>
        </w:rPr>
        <w:t xml:space="preserve"> wskazujących na wyzwania ze strony Moskwy, mogą być mniej słyszalne wśród amerykańskich polityków i administracji.  </w:t>
      </w:r>
    </w:p>
    <w:p w:rsidR="00270671" w:rsidRDefault="00F95E85" w:rsidP="00BA6288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Próby uniezależnienia się od globalnych łańcuchów, poza zwiększeniem kosztów dla </w:t>
      </w:r>
      <w:r w:rsidR="005E656B">
        <w:rPr>
          <w:rFonts w:cs="Times New Roman"/>
        </w:rPr>
        <w:t>amerykańskiego</w:t>
      </w:r>
      <w:r>
        <w:rPr>
          <w:rFonts w:cs="Times New Roman"/>
        </w:rPr>
        <w:t xml:space="preserve"> konsumenta</w:t>
      </w:r>
      <w:r w:rsidR="00735E83">
        <w:rPr>
          <w:rFonts w:cs="Times New Roman"/>
        </w:rPr>
        <w:t xml:space="preserve"> i trudności organizacyjnych dla samych producentów</w:t>
      </w:r>
      <w:r w:rsidR="005E656B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5E656B">
        <w:rPr>
          <w:rFonts w:cs="Times New Roman"/>
        </w:rPr>
        <w:t>oznaczać</w:t>
      </w:r>
      <w:r>
        <w:rPr>
          <w:rFonts w:cs="Times New Roman"/>
        </w:rPr>
        <w:t xml:space="preserve"> mogą częściową reorientację w polityce </w:t>
      </w:r>
      <w:r w:rsidR="005E656B">
        <w:rPr>
          <w:rFonts w:cs="Times New Roman"/>
        </w:rPr>
        <w:t xml:space="preserve">zagranicznej i bezpieczeństwa administracji D. </w:t>
      </w:r>
      <w:proofErr w:type="spellStart"/>
      <w:r w:rsidR="005E656B">
        <w:rPr>
          <w:rFonts w:cs="Times New Roman"/>
        </w:rPr>
        <w:t>Trumpa</w:t>
      </w:r>
      <w:proofErr w:type="spellEnd"/>
      <w:r w:rsidR="005E656B">
        <w:rPr>
          <w:rFonts w:cs="Times New Roman"/>
        </w:rPr>
        <w:t xml:space="preserve">. </w:t>
      </w:r>
      <w:r w:rsidR="005E656B" w:rsidRPr="00F9625E">
        <w:rPr>
          <w:rFonts w:cs="Times New Roman"/>
          <w:b/>
        </w:rPr>
        <w:t>Mniejsze uzależnienie od globalnych dostawców spowodować może</w:t>
      </w:r>
      <w:r w:rsidR="00256562" w:rsidRPr="00F9625E">
        <w:rPr>
          <w:rFonts w:cs="Times New Roman"/>
          <w:b/>
        </w:rPr>
        <w:t xml:space="preserve"> zmniejszenie zaangażowania USA w regionach kluczowych obecnie dla amerykańskiego handlu i inwestycj</w:t>
      </w:r>
      <w:r w:rsidR="00B26996" w:rsidRPr="00F9625E">
        <w:rPr>
          <w:rFonts w:cs="Times New Roman"/>
          <w:b/>
        </w:rPr>
        <w:t>i</w:t>
      </w:r>
      <w:r w:rsidR="00B26996">
        <w:rPr>
          <w:rFonts w:cs="Times New Roman"/>
        </w:rPr>
        <w:t xml:space="preserve"> (podobnie jak uniezależnienie się energetyczne USA od Bliskiego Wschodu na skutek rewolucji łupkowej, sp</w:t>
      </w:r>
      <w:r w:rsidR="00BA10DA">
        <w:rPr>
          <w:rFonts w:cs="Times New Roman"/>
        </w:rPr>
        <w:t>owodowało relatywne zmniejszenie</w:t>
      </w:r>
      <w:r w:rsidR="00B26996">
        <w:rPr>
          <w:rFonts w:cs="Times New Roman"/>
        </w:rPr>
        <w:t xml:space="preserve"> znaczenia tego regonu w polityce zagranicznej i bezpieczeństwa USA). </w:t>
      </w:r>
      <w:r w:rsidR="00256562">
        <w:rPr>
          <w:rFonts w:cs="Times New Roman"/>
        </w:rPr>
        <w:t>Zmniejszenie globalnego zaangażowania</w:t>
      </w:r>
      <w:r w:rsidR="00B26996">
        <w:rPr>
          <w:rFonts w:cs="Times New Roman"/>
        </w:rPr>
        <w:t xml:space="preserve"> USA</w:t>
      </w:r>
      <w:r w:rsidR="00256562">
        <w:rPr>
          <w:rFonts w:cs="Times New Roman"/>
        </w:rPr>
        <w:t xml:space="preserve">, w tym potencjalnie w Europie, miałoby niekorzystne konsekwencje dla Polski. </w:t>
      </w:r>
    </w:p>
    <w:p w:rsidR="00BA6288" w:rsidRPr="00127419" w:rsidRDefault="00256562" w:rsidP="00BA6288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 drugiej strony, wobec trudności w realizacji postulatu zupełnego uniezależnienia się USA od dostawców zagranicznych, Europa, w tym szczególnie </w:t>
      </w:r>
      <w:r w:rsidRPr="00F9625E">
        <w:rPr>
          <w:rFonts w:cs="Times New Roman"/>
          <w:b/>
        </w:rPr>
        <w:t xml:space="preserve">Polska, </w:t>
      </w:r>
      <w:r w:rsidR="00B26996" w:rsidRPr="00F9625E">
        <w:rPr>
          <w:rFonts w:cs="Times New Roman"/>
          <w:b/>
        </w:rPr>
        <w:t xml:space="preserve">mogłaby być </w:t>
      </w:r>
      <w:r w:rsidRPr="00F9625E">
        <w:rPr>
          <w:rFonts w:cs="Times New Roman"/>
          <w:b/>
        </w:rPr>
        <w:t xml:space="preserve">potencjalnie </w:t>
      </w:r>
      <w:r w:rsidR="00B26996" w:rsidRPr="00F9625E">
        <w:rPr>
          <w:rFonts w:cs="Times New Roman"/>
          <w:b/>
        </w:rPr>
        <w:t>atrakcyjna</w:t>
      </w:r>
      <w:r w:rsidR="00270671" w:rsidRPr="00F9625E">
        <w:rPr>
          <w:rFonts w:cs="Times New Roman"/>
          <w:b/>
        </w:rPr>
        <w:t>, nie tylko</w:t>
      </w:r>
      <w:r w:rsidR="00B26996" w:rsidRPr="00F9625E">
        <w:rPr>
          <w:rFonts w:cs="Times New Roman"/>
          <w:b/>
        </w:rPr>
        <w:t xml:space="preserve"> jako miejsce, gdzie część inwestycji amerykańskich byłaby przeniesiona</w:t>
      </w:r>
      <w:r w:rsidR="00270671" w:rsidRPr="00F9625E">
        <w:rPr>
          <w:rFonts w:cs="Times New Roman"/>
          <w:b/>
        </w:rPr>
        <w:t>, ale także jako ważny partner w budowaniu nowych, zaufanych łańcuchów dostaw, w oparciu o istniejący potencjał polskiego przemysłu</w:t>
      </w:r>
      <w:r w:rsidR="00B26996" w:rsidRPr="00F9625E">
        <w:rPr>
          <w:rFonts w:cs="Times New Roman"/>
          <w:b/>
        </w:rPr>
        <w:t>.</w:t>
      </w:r>
      <w:r w:rsidR="0030330F" w:rsidRPr="00BA6288">
        <w:rPr>
          <w:rFonts w:cs="Times New Roman"/>
          <w:i/>
          <w:sz w:val="20"/>
          <w:szCs w:val="20"/>
        </w:rPr>
        <w:t xml:space="preserve"> </w:t>
      </w:r>
      <w:r w:rsidR="00BA6288" w:rsidRPr="00BA6288">
        <w:rPr>
          <w:rFonts w:cs="Times New Roman"/>
          <w:i/>
          <w:sz w:val="20"/>
          <w:szCs w:val="20"/>
        </w:rPr>
        <w:t>(opr. M. Stus</w:t>
      </w:r>
      <w:r w:rsidR="00951BC0">
        <w:rPr>
          <w:rFonts w:cs="Times New Roman"/>
          <w:i/>
          <w:sz w:val="20"/>
          <w:szCs w:val="20"/>
        </w:rPr>
        <w:t xml:space="preserve">, </w:t>
      </w:r>
      <w:r w:rsidR="00C21699">
        <w:rPr>
          <w:rFonts w:cs="Times New Roman"/>
          <w:i/>
          <w:sz w:val="20"/>
          <w:szCs w:val="20"/>
        </w:rPr>
        <w:t>P. Gębski</w:t>
      </w:r>
      <w:r w:rsidR="00BA6288" w:rsidRPr="00BA6288">
        <w:rPr>
          <w:rFonts w:cs="Times New Roman"/>
          <w:i/>
          <w:sz w:val="20"/>
          <w:szCs w:val="20"/>
        </w:rPr>
        <w:t>)</w:t>
      </w:r>
    </w:p>
    <w:p w:rsidR="00792421" w:rsidRDefault="00792421" w:rsidP="00127419">
      <w:pPr>
        <w:spacing w:after="120" w:line="240" w:lineRule="auto"/>
        <w:jc w:val="both"/>
        <w:rPr>
          <w:rFonts w:cs="Times New Roman"/>
          <w:b/>
        </w:rPr>
      </w:pPr>
    </w:p>
    <w:p w:rsidR="00F9625E" w:rsidRDefault="00F9625E" w:rsidP="00127419">
      <w:pPr>
        <w:spacing w:after="120" w:line="240" w:lineRule="auto"/>
        <w:jc w:val="both"/>
        <w:rPr>
          <w:rFonts w:cs="Times New Roman"/>
          <w:b/>
        </w:rPr>
      </w:pPr>
    </w:p>
    <w:p w:rsidR="002C1BAF" w:rsidRDefault="00F22789" w:rsidP="00127419">
      <w:pPr>
        <w:spacing w:after="120" w:line="240" w:lineRule="auto"/>
        <w:jc w:val="both"/>
      </w:pPr>
      <w:r w:rsidRPr="00626B21">
        <w:rPr>
          <w:rFonts w:cs="Times New Roman"/>
          <w:b/>
        </w:rPr>
        <w:t>/-/ WILCZEK</w:t>
      </w:r>
    </w:p>
    <w:sectPr w:rsidR="002C1BAF" w:rsidSect="00F8531E">
      <w:type w:val="continuous"/>
      <w:pgSz w:w="12240" w:h="15840" w:code="1"/>
      <w:pgMar w:top="1276" w:right="1418" w:bottom="1276" w:left="1418" w:header="709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0F4" w:rsidRDefault="009E70F4">
      <w:pPr>
        <w:spacing w:after="0" w:line="240" w:lineRule="auto"/>
      </w:pPr>
      <w:r>
        <w:separator/>
      </w:r>
    </w:p>
  </w:endnote>
  <w:endnote w:type="continuationSeparator" w:id="0">
    <w:p w:rsidR="009E70F4" w:rsidRDefault="009E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3433448"/>
      <w:docPartObj>
        <w:docPartGallery w:val="Page Numbers (Bottom of Page)"/>
        <w:docPartUnique/>
      </w:docPartObj>
    </w:sdtPr>
    <w:sdtEndPr/>
    <w:sdtContent>
      <w:p w:rsidR="000851E3" w:rsidRDefault="000668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9E">
          <w:rPr>
            <w:noProof/>
          </w:rPr>
          <w:t>2</w:t>
        </w:r>
        <w:r>
          <w:fldChar w:fldCharType="end"/>
        </w:r>
      </w:p>
    </w:sdtContent>
  </w:sdt>
  <w:p w:rsidR="000851E3" w:rsidRDefault="009E7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0F4" w:rsidRDefault="009E70F4">
      <w:pPr>
        <w:spacing w:after="0" w:line="240" w:lineRule="auto"/>
      </w:pPr>
      <w:r>
        <w:separator/>
      </w:r>
    </w:p>
  </w:footnote>
  <w:footnote w:type="continuationSeparator" w:id="0">
    <w:p w:rsidR="009E70F4" w:rsidRDefault="009E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93DF9"/>
    <w:multiLevelType w:val="hybridMultilevel"/>
    <w:tmpl w:val="5016F5BC"/>
    <w:lvl w:ilvl="0" w:tplc="19C8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3B7"/>
    <w:multiLevelType w:val="hybridMultilevel"/>
    <w:tmpl w:val="CE82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44AE"/>
    <w:multiLevelType w:val="hybridMultilevel"/>
    <w:tmpl w:val="DECA7834"/>
    <w:lvl w:ilvl="0" w:tplc="0C883C6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28BB"/>
    <w:multiLevelType w:val="hybridMultilevel"/>
    <w:tmpl w:val="7BE2EA94"/>
    <w:lvl w:ilvl="0" w:tplc="19C8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4B27"/>
    <w:multiLevelType w:val="hybridMultilevel"/>
    <w:tmpl w:val="B9848D8C"/>
    <w:lvl w:ilvl="0" w:tplc="19C8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7E1"/>
    <w:multiLevelType w:val="hybridMultilevel"/>
    <w:tmpl w:val="72EAD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789"/>
    <w:rsid w:val="00000C50"/>
    <w:rsid w:val="00041606"/>
    <w:rsid w:val="000565D7"/>
    <w:rsid w:val="00065823"/>
    <w:rsid w:val="00066893"/>
    <w:rsid w:val="00077120"/>
    <w:rsid w:val="00081B8C"/>
    <w:rsid w:val="000825AF"/>
    <w:rsid w:val="000B5CFC"/>
    <w:rsid w:val="000E5A49"/>
    <w:rsid w:val="0010309E"/>
    <w:rsid w:val="00127419"/>
    <w:rsid w:val="001771FA"/>
    <w:rsid w:val="00203E9D"/>
    <w:rsid w:val="0021476C"/>
    <w:rsid w:val="00220BB3"/>
    <w:rsid w:val="00242414"/>
    <w:rsid w:val="002563AE"/>
    <w:rsid w:val="00256562"/>
    <w:rsid w:val="0026670E"/>
    <w:rsid w:val="00270671"/>
    <w:rsid w:val="00282DFC"/>
    <w:rsid w:val="002B3F83"/>
    <w:rsid w:val="002C1BAF"/>
    <w:rsid w:val="002C1C8E"/>
    <w:rsid w:val="002F4D8A"/>
    <w:rsid w:val="0030330F"/>
    <w:rsid w:val="00383CCE"/>
    <w:rsid w:val="003A5EA7"/>
    <w:rsid w:val="003D0F0F"/>
    <w:rsid w:val="003D3363"/>
    <w:rsid w:val="003E4E54"/>
    <w:rsid w:val="00412A1A"/>
    <w:rsid w:val="00423116"/>
    <w:rsid w:val="004B6731"/>
    <w:rsid w:val="00527C92"/>
    <w:rsid w:val="005B4094"/>
    <w:rsid w:val="005C3B31"/>
    <w:rsid w:val="005D2ECB"/>
    <w:rsid w:val="005E0EA4"/>
    <w:rsid w:val="005E656B"/>
    <w:rsid w:val="00601FBF"/>
    <w:rsid w:val="00647D6A"/>
    <w:rsid w:val="00650F34"/>
    <w:rsid w:val="00673F72"/>
    <w:rsid w:val="00692F43"/>
    <w:rsid w:val="006D2F21"/>
    <w:rsid w:val="00700AB8"/>
    <w:rsid w:val="007036CA"/>
    <w:rsid w:val="00735E83"/>
    <w:rsid w:val="007471BB"/>
    <w:rsid w:val="00785193"/>
    <w:rsid w:val="00792421"/>
    <w:rsid w:val="0079384A"/>
    <w:rsid w:val="0079596F"/>
    <w:rsid w:val="007D443A"/>
    <w:rsid w:val="007F5A79"/>
    <w:rsid w:val="00801740"/>
    <w:rsid w:val="00803198"/>
    <w:rsid w:val="00832B01"/>
    <w:rsid w:val="00837AFF"/>
    <w:rsid w:val="008A0981"/>
    <w:rsid w:val="008C48FB"/>
    <w:rsid w:val="008F39DD"/>
    <w:rsid w:val="009018FD"/>
    <w:rsid w:val="00910353"/>
    <w:rsid w:val="009252CF"/>
    <w:rsid w:val="00951BC0"/>
    <w:rsid w:val="009720D7"/>
    <w:rsid w:val="009A4F8B"/>
    <w:rsid w:val="009E70F4"/>
    <w:rsid w:val="009F64A0"/>
    <w:rsid w:val="00A604C4"/>
    <w:rsid w:val="00A65478"/>
    <w:rsid w:val="00A84EDA"/>
    <w:rsid w:val="00AB19EA"/>
    <w:rsid w:val="00AD037C"/>
    <w:rsid w:val="00AD6B1D"/>
    <w:rsid w:val="00B26996"/>
    <w:rsid w:val="00B42261"/>
    <w:rsid w:val="00B44F9F"/>
    <w:rsid w:val="00BA0229"/>
    <w:rsid w:val="00BA10DA"/>
    <w:rsid w:val="00BA6288"/>
    <w:rsid w:val="00BB29ED"/>
    <w:rsid w:val="00C21699"/>
    <w:rsid w:val="00C250C8"/>
    <w:rsid w:val="00C3308D"/>
    <w:rsid w:val="00C746F7"/>
    <w:rsid w:val="00CA0D85"/>
    <w:rsid w:val="00CA3841"/>
    <w:rsid w:val="00CC7BD6"/>
    <w:rsid w:val="00CF3434"/>
    <w:rsid w:val="00CF5BD0"/>
    <w:rsid w:val="00D2145F"/>
    <w:rsid w:val="00D43DEE"/>
    <w:rsid w:val="00D65D31"/>
    <w:rsid w:val="00DC44AD"/>
    <w:rsid w:val="00E00A97"/>
    <w:rsid w:val="00E419D9"/>
    <w:rsid w:val="00E5181F"/>
    <w:rsid w:val="00E60735"/>
    <w:rsid w:val="00E759E4"/>
    <w:rsid w:val="00E75B87"/>
    <w:rsid w:val="00E84BBA"/>
    <w:rsid w:val="00E85072"/>
    <w:rsid w:val="00E93EED"/>
    <w:rsid w:val="00ED68A5"/>
    <w:rsid w:val="00EF14A6"/>
    <w:rsid w:val="00F22789"/>
    <w:rsid w:val="00F61D5E"/>
    <w:rsid w:val="00F95E85"/>
    <w:rsid w:val="00F9625E"/>
    <w:rsid w:val="00FB6057"/>
    <w:rsid w:val="00FB6EA4"/>
    <w:rsid w:val="00FC20D0"/>
    <w:rsid w:val="00FD58F2"/>
    <w:rsid w:val="00FE2EAD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123"/>
  <w15:docId w15:val="{147A314A-CFEB-474F-9D2B-E75456C8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789"/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7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278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2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789"/>
    <w:rPr>
      <w:rFonts w:eastAsiaTheme="minorEastAsi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D5E"/>
    <w:rPr>
      <w:rFonts w:ascii="Tahoma" w:eastAsiaTheme="minorEastAsia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01FB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7F89-6E84-FE4C-A09D-23967999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2317</Words>
  <Characters>14789</Characters>
  <Application>Microsoft Office Word</Application>
  <DocSecurity>0</DocSecurity>
  <Lines>227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 Mariusz</dc:creator>
  <cp:lastModifiedBy>Piotr Wilczek</cp:lastModifiedBy>
  <cp:revision>17</cp:revision>
  <cp:lastPrinted>2020-03-24T15:03:00Z</cp:lastPrinted>
  <dcterms:created xsi:type="dcterms:W3CDTF">2020-04-16T21:11:00Z</dcterms:created>
  <dcterms:modified xsi:type="dcterms:W3CDTF">2020-04-18T01:31:00Z</dcterms:modified>
</cp:coreProperties>
</file>