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DAD4C" w14:textId="77777777" w:rsidR="006525D2" w:rsidRDefault="0055563A" w:rsidP="006525D2">
      <w:pPr>
        <w:pStyle w:val="Tytu"/>
        <w:tabs>
          <w:tab w:val="left" w:pos="2565"/>
        </w:tabs>
        <w:jc w:val="both"/>
        <w:sectPr w:rsidR="006525D2" w:rsidSect="00466B98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75F51" wp14:editId="3EF0AC19">
                <wp:simplePos x="0" y="0"/>
                <wp:positionH relativeFrom="column">
                  <wp:posOffset>1413559</wp:posOffset>
                </wp:positionH>
                <wp:positionV relativeFrom="paragraph">
                  <wp:posOffset>8470851</wp:posOffset>
                </wp:positionV>
                <wp:extent cx="2813538" cy="570523"/>
                <wp:effectExtent l="0" t="0" r="0" b="127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538" cy="570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F1765" w14:textId="671ECF49" w:rsidR="00216FF6" w:rsidRPr="00D07BF4" w:rsidRDefault="00216FF6" w:rsidP="00D07BF4">
                            <w:pPr>
                              <w:pStyle w:val="Akapitzlist"/>
                              <w:rPr>
                                <w:rStyle w:val="Odwoaniedelikatne"/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Odwoaniedelikatne"/>
                                <w:color w:val="FFFFFF" w:themeColor="background1"/>
                              </w:rPr>
                              <w:t>Warszawa, 9 listopada</w:t>
                            </w:r>
                            <w:r w:rsidRPr="004E6C46">
                              <w:rPr>
                                <w:rStyle w:val="Odwoaniedelikatne"/>
                                <w:color w:val="FFFFFF" w:themeColor="background1"/>
                              </w:rPr>
                              <w:t xml:space="preserve"> 2020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75F5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1.3pt;margin-top:667pt;width:221.55pt;height:44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" filled="f" stroked="f" strokeweight=".5pt">
                <v:textbox>
                  <w:txbxContent>
                    <w:p w14:paraId="645F1765" w14:textId="671ECF49" w:rsidR="00216FF6" w:rsidRPr="00D07BF4" w:rsidRDefault="00216FF6" w:rsidP="00D07BF4">
                      <w:pPr>
                        <w:pStyle w:val="Akapitzlist"/>
                        <w:rPr>
                          <w:rStyle w:val="Odwoaniedelikatne"/>
                          <w:color w:val="FFFFFF" w:themeColor="background1"/>
                        </w:rPr>
                      </w:pPr>
                      <w:r>
                        <w:rPr>
                          <w:rStyle w:val="Odwoaniedelikatne"/>
                          <w:color w:val="FFFFFF" w:themeColor="background1"/>
                        </w:rPr>
                        <w:t>Warszawa, 9 listopada</w:t>
                      </w:r>
                      <w:r w:rsidRPr="004E6C46">
                        <w:rPr>
                          <w:rStyle w:val="Odwoaniedelikatne"/>
                          <w:color w:val="FFFFFF" w:themeColor="background1"/>
                        </w:rPr>
                        <w:t xml:space="preserve"> 2020 r.</w:t>
                      </w:r>
                    </w:p>
                  </w:txbxContent>
                </v:textbox>
              </v:shape>
            </w:pict>
          </mc:Fallback>
        </mc:AlternateContent>
      </w:r>
      <w:r w:rsidR="006525D2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20716B8" wp14:editId="54FF704D">
            <wp:simplePos x="0" y="0"/>
            <wp:positionH relativeFrom="margin">
              <wp:posOffset>2847975</wp:posOffset>
            </wp:positionH>
            <wp:positionV relativeFrom="paragraph">
              <wp:posOffset>-457200</wp:posOffset>
            </wp:positionV>
            <wp:extent cx="3395487" cy="757881"/>
            <wp:effectExtent l="0" t="0" r="0" b="4445"/>
            <wp:wrapNone/>
            <wp:docPr id="7" name="Obraz 7" descr="C:\Users\jaroslaw_morawski\Documents\!!Loga_znaki_banery\Orzelek_MFiPR_pl-bialy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roslaw_morawski\Documents\!!Loga_znaki_banery\Orzelek_MFiPR_pl-bialy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487" cy="75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5D2" w:rsidRPr="00C43690">
        <w:rPr>
          <w:rFonts w:cstheme="majorHAnsi"/>
          <w:b/>
          <w:noProof/>
          <w:color w:val="F2F2F2" w:themeColor="background1" w:themeShade="F2"/>
          <w:sz w:val="52"/>
          <w:szCs w:val="52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84238B" wp14:editId="7654891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158355" cy="10313581"/>
                <wp:effectExtent l="0" t="0" r="4445" b="0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8355" cy="10313581"/>
                        </a:xfrm>
                        <a:prstGeom prst="roundRect">
                          <a:avLst>
                            <a:gd name="adj" fmla="val 4968"/>
                          </a:avLst>
                        </a:prstGeom>
                        <a:gradFill>
                          <a:gsLst>
                            <a:gs pos="50000">
                              <a:srgbClr val="637A9D"/>
                            </a:gs>
                            <a:gs pos="34000">
                              <a:srgbClr val="506380"/>
                            </a:gs>
                            <a:gs pos="0">
                              <a:srgbClr val="465873"/>
                            </a:gs>
                            <a:gs pos="67000">
                              <a:srgbClr val="465873"/>
                            </a:gs>
                            <a:gs pos="100000">
                              <a:schemeClr val="dk2">
                                <a:shade val="63000"/>
                                <a:satMod val="12000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dk2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372EB" w14:textId="77777777" w:rsidR="00216FF6" w:rsidRPr="00EB3EFD" w:rsidRDefault="00216FF6" w:rsidP="004E6C46">
                            <w:pPr>
                              <w:pStyle w:val="Tytu"/>
                              <w:jc w:val="center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 w:rsidRPr="00EB3EFD">
                              <w:rPr>
                                <w:b/>
                                <w:sz w:val="64"/>
                                <w:szCs w:val="64"/>
                              </w:rPr>
                              <w:t xml:space="preserve">Alokacja dla Polski </w:t>
                            </w:r>
                          </w:p>
                          <w:p w14:paraId="044C8BB3" w14:textId="77777777" w:rsidR="00216FF6" w:rsidRPr="00EB3EFD" w:rsidRDefault="00216FF6" w:rsidP="004E6C46">
                            <w:pPr>
                              <w:pStyle w:val="Tytu"/>
                              <w:jc w:val="center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 w:rsidRPr="00EB3EFD">
                              <w:rPr>
                                <w:b/>
                                <w:sz w:val="64"/>
                                <w:szCs w:val="64"/>
                              </w:rPr>
                              <w:t xml:space="preserve">w perspektywie 2021-2027 </w:t>
                            </w:r>
                          </w:p>
                          <w:p w14:paraId="0797FBD7" w14:textId="77777777" w:rsidR="00216FF6" w:rsidRPr="004E6C46" w:rsidRDefault="00216FF6" w:rsidP="004E6C46">
                            <w:pPr>
                              <w:pStyle w:val="Tytu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4E6C46">
                              <w:rPr>
                                <w:sz w:val="64"/>
                                <w:szCs w:val="64"/>
                              </w:rPr>
                              <w:br/>
                            </w:r>
                          </w:p>
                          <w:p w14:paraId="6CA52837" w14:textId="77777777" w:rsidR="00216FF6" w:rsidRPr="00D62501" w:rsidRDefault="00216FF6" w:rsidP="006525D2">
                            <w:pPr>
                              <w:spacing w:before="120" w:line="240" w:lineRule="auto"/>
                              <w:rPr>
                                <w:rFonts w:ascii="Arial Narrow" w:hAnsi="Arial Narrow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1704C044" w14:textId="77777777" w:rsidR="00216FF6" w:rsidRDefault="00216FF6" w:rsidP="006525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4238B" id="Prostokąt zaokrąglony 5" o:spid="_x0000_s1027" style="position:absolute;left:0;text-align:left;margin-left:0;margin-top:0;width:563.65pt;height:812.1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arcsize="32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" fillcolor="#465873" stroked="f">
                <v:fill color2="#2a3442 [2018]" rotate="t" colors="0 #465873;22282f #506380;.5 #637a9d;43909f #465873;1 #334258" focus="100%" type="gradient">
                  <o:fill v:ext="view" type="gradientUnscaled"/>
                </v:fill>
                <v:textbox>
                  <w:txbxContent>
                    <w:p w14:paraId="49B372EB" w14:textId="77777777" w:rsidR="00216FF6" w:rsidRPr="00EB3EFD" w:rsidRDefault="00216FF6" w:rsidP="004E6C46">
                      <w:pPr>
                        <w:pStyle w:val="Tytu"/>
                        <w:jc w:val="center"/>
                        <w:rPr>
                          <w:b/>
                          <w:sz w:val="64"/>
                          <w:szCs w:val="64"/>
                        </w:rPr>
                      </w:pPr>
                      <w:r w:rsidRPr="00EB3EFD">
                        <w:rPr>
                          <w:b/>
                          <w:sz w:val="64"/>
                          <w:szCs w:val="64"/>
                        </w:rPr>
                        <w:t xml:space="preserve">Alokacja dla Polski </w:t>
                      </w:r>
                    </w:p>
                    <w:p w14:paraId="044C8BB3" w14:textId="77777777" w:rsidR="00216FF6" w:rsidRPr="00EB3EFD" w:rsidRDefault="00216FF6" w:rsidP="004E6C46">
                      <w:pPr>
                        <w:pStyle w:val="Tytu"/>
                        <w:jc w:val="center"/>
                        <w:rPr>
                          <w:b/>
                          <w:sz w:val="64"/>
                          <w:szCs w:val="64"/>
                        </w:rPr>
                      </w:pPr>
                      <w:r w:rsidRPr="00EB3EFD">
                        <w:rPr>
                          <w:b/>
                          <w:sz w:val="64"/>
                          <w:szCs w:val="64"/>
                        </w:rPr>
                        <w:t xml:space="preserve">w perspektywie 2021-2027 </w:t>
                      </w:r>
                    </w:p>
                    <w:p w14:paraId="0797FBD7" w14:textId="77777777" w:rsidR="00216FF6" w:rsidRPr="004E6C46" w:rsidRDefault="00216FF6" w:rsidP="004E6C46">
                      <w:pPr>
                        <w:pStyle w:val="Tytu"/>
                        <w:jc w:val="center"/>
                        <w:rPr>
                          <w:sz w:val="64"/>
                          <w:szCs w:val="64"/>
                        </w:rPr>
                      </w:pPr>
                      <w:r w:rsidRPr="004E6C46">
                        <w:rPr>
                          <w:sz w:val="64"/>
                          <w:szCs w:val="64"/>
                        </w:rPr>
                        <w:br/>
                      </w:r>
                    </w:p>
                    <w:p w14:paraId="6CA52837" w14:textId="77777777" w:rsidR="00216FF6" w:rsidRPr="00D62501" w:rsidRDefault="00216FF6" w:rsidP="006525D2">
                      <w:pPr>
                        <w:spacing w:before="120" w:line="240" w:lineRule="auto"/>
                        <w:rPr>
                          <w:rFonts w:ascii="Arial Narrow" w:hAnsi="Arial Narrow" w:cs="Arial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1704C044" w14:textId="77777777" w:rsidR="00216FF6" w:rsidRDefault="00216FF6" w:rsidP="006525D2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6525D2">
        <w:tab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439729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9E237D" w14:textId="77777777" w:rsidR="00B262BE" w:rsidRDefault="00B262BE">
          <w:pPr>
            <w:pStyle w:val="Nagwekspisutreci"/>
          </w:pPr>
          <w:r>
            <w:t>Spis treści</w:t>
          </w:r>
        </w:p>
        <w:p w14:paraId="3BCE4718" w14:textId="56DC84BB" w:rsidR="00EF01D1" w:rsidRDefault="00B262BE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888883" w:history="1">
            <w:r w:rsidR="00EF01D1" w:rsidRPr="00E1312C">
              <w:rPr>
                <w:rStyle w:val="Hipercze"/>
                <w:noProof/>
              </w:rPr>
              <w:t>I.</w:t>
            </w:r>
            <w:r w:rsidR="00EF01D1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EF01D1" w:rsidRPr="00E1312C">
              <w:rPr>
                <w:rStyle w:val="Hipercze"/>
                <w:noProof/>
              </w:rPr>
              <w:t>Alokacja w ramach polityki spójności i Funduszu Sprawiedliwej Transformacji</w:t>
            </w:r>
            <w:r w:rsidR="00EF01D1">
              <w:rPr>
                <w:noProof/>
                <w:webHidden/>
              </w:rPr>
              <w:tab/>
            </w:r>
            <w:r w:rsidR="00EF01D1">
              <w:rPr>
                <w:noProof/>
                <w:webHidden/>
              </w:rPr>
              <w:fldChar w:fldCharType="begin"/>
            </w:r>
            <w:r w:rsidR="00EF01D1">
              <w:rPr>
                <w:noProof/>
                <w:webHidden/>
              </w:rPr>
              <w:instrText xml:space="preserve"> PAGEREF _Toc55888883 \h </w:instrText>
            </w:r>
            <w:r w:rsidR="00EF01D1">
              <w:rPr>
                <w:noProof/>
                <w:webHidden/>
              </w:rPr>
            </w:r>
            <w:r w:rsidR="00EF01D1">
              <w:rPr>
                <w:noProof/>
                <w:webHidden/>
              </w:rPr>
              <w:fldChar w:fldCharType="separate"/>
            </w:r>
            <w:r w:rsidR="00EF01D1">
              <w:rPr>
                <w:noProof/>
                <w:webHidden/>
              </w:rPr>
              <w:t>3</w:t>
            </w:r>
            <w:r w:rsidR="00EF01D1">
              <w:rPr>
                <w:noProof/>
                <w:webHidden/>
              </w:rPr>
              <w:fldChar w:fldCharType="end"/>
            </w:r>
          </w:hyperlink>
        </w:p>
        <w:p w14:paraId="738A2773" w14:textId="3341C967" w:rsidR="00EF01D1" w:rsidRDefault="005F0DC6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pl-PL"/>
            </w:rPr>
          </w:pPr>
          <w:hyperlink w:anchor="_Toc55888884" w:history="1">
            <w:r w:rsidR="00EF01D1" w:rsidRPr="00E1312C">
              <w:rPr>
                <w:rStyle w:val="Hipercze"/>
                <w:noProof/>
              </w:rPr>
              <w:t>II.</w:t>
            </w:r>
            <w:r w:rsidR="00EF01D1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EF01D1" w:rsidRPr="00E1312C">
              <w:rPr>
                <w:rStyle w:val="Hipercze"/>
                <w:noProof/>
              </w:rPr>
              <w:t>Podział alokacji na programy regionalne</w:t>
            </w:r>
            <w:r w:rsidR="00EF01D1">
              <w:rPr>
                <w:noProof/>
                <w:webHidden/>
              </w:rPr>
              <w:tab/>
            </w:r>
            <w:r w:rsidR="00EF01D1">
              <w:rPr>
                <w:noProof/>
                <w:webHidden/>
              </w:rPr>
              <w:fldChar w:fldCharType="begin"/>
            </w:r>
            <w:r w:rsidR="00EF01D1">
              <w:rPr>
                <w:noProof/>
                <w:webHidden/>
              </w:rPr>
              <w:instrText xml:space="preserve"> PAGEREF _Toc55888884 \h </w:instrText>
            </w:r>
            <w:r w:rsidR="00EF01D1">
              <w:rPr>
                <w:noProof/>
                <w:webHidden/>
              </w:rPr>
            </w:r>
            <w:r w:rsidR="00EF01D1">
              <w:rPr>
                <w:noProof/>
                <w:webHidden/>
              </w:rPr>
              <w:fldChar w:fldCharType="separate"/>
            </w:r>
            <w:r w:rsidR="00EF01D1">
              <w:rPr>
                <w:noProof/>
                <w:webHidden/>
              </w:rPr>
              <w:t>8</w:t>
            </w:r>
            <w:r w:rsidR="00EF01D1">
              <w:rPr>
                <w:noProof/>
                <w:webHidden/>
              </w:rPr>
              <w:fldChar w:fldCharType="end"/>
            </w:r>
          </w:hyperlink>
        </w:p>
        <w:p w14:paraId="16186EC6" w14:textId="5E450D63" w:rsidR="00EF01D1" w:rsidRDefault="005F0DC6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pl-PL"/>
            </w:rPr>
          </w:pPr>
          <w:hyperlink w:anchor="_Toc55888885" w:history="1">
            <w:r w:rsidR="00EF01D1" w:rsidRPr="00E1312C">
              <w:rPr>
                <w:rStyle w:val="Hipercze"/>
                <w:noProof/>
              </w:rPr>
              <w:t>III.</w:t>
            </w:r>
            <w:r w:rsidR="00EF01D1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EF01D1" w:rsidRPr="00E1312C">
              <w:rPr>
                <w:rStyle w:val="Hipercze"/>
                <w:noProof/>
              </w:rPr>
              <w:t>Podział środków Funduszu Sprawiedliwej Transformacji</w:t>
            </w:r>
            <w:r w:rsidR="00EF01D1">
              <w:rPr>
                <w:noProof/>
                <w:webHidden/>
              </w:rPr>
              <w:tab/>
            </w:r>
            <w:r w:rsidR="00EF01D1">
              <w:rPr>
                <w:noProof/>
                <w:webHidden/>
              </w:rPr>
              <w:fldChar w:fldCharType="begin"/>
            </w:r>
            <w:r w:rsidR="00EF01D1">
              <w:rPr>
                <w:noProof/>
                <w:webHidden/>
              </w:rPr>
              <w:instrText xml:space="preserve"> PAGEREF _Toc55888885 \h </w:instrText>
            </w:r>
            <w:r w:rsidR="00EF01D1">
              <w:rPr>
                <w:noProof/>
                <w:webHidden/>
              </w:rPr>
            </w:r>
            <w:r w:rsidR="00EF01D1">
              <w:rPr>
                <w:noProof/>
                <w:webHidden/>
              </w:rPr>
              <w:fldChar w:fldCharType="separate"/>
            </w:r>
            <w:r w:rsidR="00EF01D1">
              <w:rPr>
                <w:noProof/>
                <w:webHidden/>
              </w:rPr>
              <w:t>13</w:t>
            </w:r>
            <w:r w:rsidR="00EF01D1">
              <w:rPr>
                <w:noProof/>
                <w:webHidden/>
              </w:rPr>
              <w:fldChar w:fldCharType="end"/>
            </w:r>
          </w:hyperlink>
        </w:p>
        <w:p w14:paraId="425E6F7B" w14:textId="0E9E54EE" w:rsidR="00EF01D1" w:rsidRDefault="005F0DC6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pl-PL"/>
            </w:rPr>
          </w:pPr>
          <w:hyperlink w:anchor="_Toc55888886" w:history="1">
            <w:r w:rsidR="00EF01D1" w:rsidRPr="00E1312C">
              <w:rPr>
                <w:rStyle w:val="Hipercze"/>
                <w:noProof/>
              </w:rPr>
              <w:t>IV.</w:t>
            </w:r>
            <w:r w:rsidR="00EF01D1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EF01D1" w:rsidRPr="00E1312C">
              <w:rPr>
                <w:rStyle w:val="Hipercze"/>
                <w:noProof/>
              </w:rPr>
              <w:t>Podział województwa mazowieckiego na dwie odrębne jednostki statystyczne NUTS 2 i jego konsekwencje dla programowania polityki spójności na lata 2021-2027</w:t>
            </w:r>
            <w:r w:rsidR="00EF01D1">
              <w:rPr>
                <w:noProof/>
                <w:webHidden/>
              </w:rPr>
              <w:tab/>
            </w:r>
            <w:r w:rsidR="00EF01D1">
              <w:rPr>
                <w:noProof/>
                <w:webHidden/>
              </w:rPr>
              <w:fldChar w:fldCharType="begin"/>
            </w:r>
            <w:r w:rsidR="00EF01D1">
              <w:rPr>
                <w:noProof/>
                <w:webHidden/>
              </w:rPr>
              <w:instrText xml:space="preserve"> PAGEREF _Toc55888886 \h </w:instrText>
            </w:r>
            <w:r w:rsidR="00EF01D1">
              <w:rPr>
                <w:noProof/>
                <w:webHidden/>
              </w:rPr>
            </w:r>
            <w:r w:rsidR="00EF01D1">
              <w:rPr>
                <w:noProof/>
                <w:webHidden/>
              </w:rPr>
              <w:fldChar w:fldCharType="separate"/>
            </w:r>
            <w:r w:rsidR="00EF01D1">
              <w:rPr>
                <w:noProof/>
                <w:webHidden/>
              </w:rPr>
              <w:t>15</w:t>
            </w:r>
            <w:r w:rsidR="00EF01D1">
              <w:rPr>
                <w:noProof/>
                <w:webHidden/>
              </w:rPr>
              <w:fldChar w:fldCharType="end"/>
            </w:r>
          </w:hyperlink>
        </w:p>
        <w:p w14:paraId="3BE79B73" w14:textId="05ACA917" w:rsidR="00EF01D1" w:rsidRDefault="005F0DC6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pl-PL"/>
            </w:rPr>
          </w:pPr>
          <w:hyperlink w:anchor="_Toc55888887" w:history="1">
            <w:r w:rsidR="00EF01D1" w:rsidRPr="00E1312C">
              <w:rPr>
                <w:rStyle w:val="Hipercze"/>
                <w:noProof/>
              </w:rPr>
              <w:t>V.</w:t>
            </w:r>
            <w:r w:rsidR="00EF01D1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EF01D1" w:rsidRPr="00E1312C">
              <w:rPr>
                <w:rStyle w:val="Hipercze"/>
                <w:noProof/>
              </w:rPr>
              <w:t>Alokacja w ramach innych instrumentów objętych pakietem WRF 2021-2027 i Europejskiego Instrumentu na rzecz Odbudowy</w:t>
            </w:r>
            <w:r w:rsidR="00EF01D1">
              <w:rPr>
                <w:noProof/>
                <w:webHidden/>
              </w:rPr>
              <w:tab/>
            </w:r>
            <w:r w:rsidR="00EF01D1">
              <w:rPr>
                <w:noProof/>
                <w:webHidden/>
              </w:rPr>
              <w:fldChar w:fldCharType="begin"/>
            </w:r>
            <w:r w:rsidR="00EF01D1">
              <w:rPr>
                <w:noProof/>
                <w:webHidden/>
              </w:rPr>
              <w:instrText xml:space="preserve"> PAGEREF _Toc55888887 \h </w:instrText>
            </w:r>
            <w:r w:rsidR="00EF01D1">
              <w:rPr>
                <w:noProof/>
                <w:webHidden/>
              </w:rPr>
            </w:r>
            <w:r w:rsidR="00EF01D1">
              <w:rPr>
                <w:noProof/>
                <w:webHidden/>
              </w:rPr>
              <w:fldChar w:fldCharType="separate"/>
            </w:r>
            <w:r w:rsidR="00EF01D1">
              <w:rPr>
                <w:noProof/>
                <w:webHidden/>
              </w:rPr>
              <w:t>18</w:t>
            </w:r>
            <w:r w:rsidR="00EF01D1">
              <w:rPr>
                <w:noProof/>
                <w:webHidden/>
              </w:rPr>
              <w:fldChar w:fldCharType="end"/>
            </w:r>
          </w:hyperlink>
        </w:p>
        <w:p w14:paraId="3F43557B" w14:textId="35F1110D" w:rsidR="00EF01D1" w:rsidRDefault="005F0DC6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pl-PL"/>
            </w:rPr>
          </w:pPr>
          <w:hyperlink w:anchor="_Toc55888888" w:history="1">
            <w:r w:rsidR="00EF01D1" w:rsidRPr="00E1312C">
              <w:rPr>
                <w:rStyle w:val="Hipercze"/>
                <w:noProof/>
              </w:rPr>
              <w:t>VI.</w:t>
            </w:r>
            <w:r w:rsidR="00EF01D1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EF01D1" w:rsidRPr="00E1312C">
              <w:rPr>
                <w:rStyle w:val="Hipercze"/>
                <w:noProof/>
              </w:rPr>
              <w:t>Instrumenty zarządzane centralnie</w:t>
            </w:r>
            <w:r w:rsidR="00EF01D1">
              <w:rPr>
                <w:noProof/>
                <w:webHidden/>
              </w:rPr>
              <w:tab/>
            </w:r>
            <w:r w:rsidR="00EF01D1">
              <w:rPr>
                <w:noProof/>
                <w:webHidden/>
              </w:rPr>
              <w:fldChar w:fldCharType="begin"/>
            </w:r>
            <w:r w:rsidR="00EF01D1">
              <w:rPr>
                <w:noProof/>
                <w:webHidden/>
              </w:rPr>
              <w:instrText xml:space="preserve"> PAGEREF _Toc55888888 \h </w:instrText>
            </w:r>
            <w:r w:rsidR="00EF01D1">
              <w:rPr>
                <w:noProof/>
                <w:webHidden/>
              </w:rPr>
            </w:r>
            <w:r w:rsidR="00EF01D1">
              <w:rPr>
                <w:noProof/>
                <w:webHidden/>
              </w:rPr>
              <w:fldChar w:fldCharType="separate"/>
            </w:r>
            <w:r w:rsidR="00EF01D1">
              <w:rPr>
                <w:noProof/>
                <w:webHidden/>
              </w:rPr>
              <w:t>19</w:t>
            </w:r>
            <w:r w:rsidR="00EF01D1">
              <w:rPr>
                <w:noProof/>
                <w:webHidden/>
              </w:rPr>
              <w:fldChar w:fldCharType="end"/>
            </w:r>
          </w:hyperlink>
        </w:p>
        <w:p w14:paraId="15332D32" w14:textId="43849F59" w:rsidR="00EF01D1" w:rsidRDefault="005F0DC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pl-PL"/>
            </w:rPr>
          </w:pPr>
          <w:hyperlink w:anchor="_Toc55888889" w:history="1">
            <w:r w:rsidR="00EF01D1" w:rsidRPr="00E1312C">
              <w:rPr>
                <w:rStyle w:val="Hipercze"/>
                <w:noProof/>
              </w:rPr>
              <w:t>Aneks 1 - Lista instrumentów WRF i EIO</w:t>
            </w:r>
            <w:r w:rsidR="00EF01D1">
              <w:rPr>
                <w:noProof/>
                <w:webHidden/>
              </w:rPr>
              <w:tab/>
            </w:r>
            <w:r w:rsidR="00EF01D1">
              <w:rPr>
                <w:noProof/>
                <w:webHidden/>
              </w:rPr>
              <w:fldChar w:fldCharType="begin"/>
            </w:r>
            <w:r w:rsidR="00EF01D1">
              <w:rPr>
                <w:noProof/>
                <w:webHidden/>
              </w:rPr>
              <w:instrText xml:space="preserve"> PAGEREF _Toc55888889 \h </w:instrText>
            </w:r>
            <w:r w:rsidR="00EF01D1">
              <w:rPr>
                <w:noProof/>
                <w:webHidden/>
              </w:rPr>
            </w:r>
            <w:r w:rsidR="00EF01D1">
              <w:rPr>
                <w:noProof/>
                <w:webHidden/>
              </w:rPr>
              <w:fldChar w:fldCharType="separate"/>
            </w:r>
            <w:r w:rsidR="00EF01D1">
              <w:rPr>
                <w:noProof/>
                <w:webHidden/>
              </w:rPr>
              <w:t>21</w:t>
            </w:r>
            <w:r w:rsidR="00EF01D1">
              <w:rPr>
                <w:noProof/>
                <w:webHidden/>
              </w:rPr>
              <w:fldChar w:fldCharType="end"/>
            </w:r>
          </w:hyperlink>
        </w:p>
        <w:p w14:paraId="6759A503" w14:textId="7CF41C6E" w:rsidR="00EF01D1" w:rsidRDefault="005F0DC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pl-PL"/>
            </w:rPr>
          </w:pPr>
          <w:hyperlink w:anchor="_Toc55888890" w:history="1">
            <w:r w:rsidR="00EF01D1" w:rsidRPr="00E1312C">
              <w:rPr>
                <w:rStyle w:val="Hipercze"/>
                <w:noProof/>
              </w:rPr>
              <w:t>Aneks 2 - Metoda podziału alokacji na programy regionalne</w:t>
            </w:r>
            <w:r w:rsidR="00EF01D1">
              <w:rPr>
                <w:noProof/>
                <w:webHidden/>
              </w:rPr>
              <w:tab/>
            </w:r>
            <w:r w:rsidR="00EF01D1">
              <w:rPr>
                <w:noProof/>
                <w:webHidden/>
              </w:rPr>
              <w:fldChar w:fldCharType="begin"/>
            </w:r>
            <w:r w:rsidR="00EF01D1">
              <w:rPr>
                <w:noProof/>
                <w:webHidden/>
              </w:rPr>
              <w:instrText xml:space="preserve"> PAGEREF _Toc55888890 \h </w:instrText>
            </w:r>
            <w:r w:rsidR="00EF01D1">
              <w:rPr>
                <w:noProof/>
                <w:webHidden/>
              </w:rPr>
            </w:r>
            <w:r w:rsidR="00EF01D1">
              <w:rPr>
                <w:noProof/>
                <w:webHidden/>
              </w:rPr>
              <w:fldChar w:fldCharType="separate"/>
            </w:r>
            <w:r w:rsidR="00EF01D1">
              <w:rPr>
                <w:noProof/>
                <w:webHidden/>
              </w:rPr>
              <w:t>25</w:t>
            </w:r>
            <w:r w:rsidR="00EF01D1">
              <w:rPr>
                <w:noProof/>
                <w:webHidden/>
              </w:rPr>
              <w:fldChar w:fldCharType="end"/>
            </w:r>
          </w:hyperlink>
        </w:p>
        <w:p w14:paraId="0D9EB3C5" w14:textId="61169E93" w:rsidR="00B262BE" w:rsidRDefault="00B262BE">
          <w:r>
            <w:rPr>
              <w:b/>
              <w:bCs/>
            </w:rPr>
            <w:fldChar w:fldCharType="end"/>
          </w:r>
        </w:p>
      </w:sdtContent>
    </w:sdt>
    <w:p w14:paraId="1C63571F" w14:textId="77777777" w:rsidR="006525D2" w:rsidRDefault="006525D2" w:rsidP="00AD7DA0">
      <w:pPr>
        <w:tabs>
          <w:tab w:val="left" w:pos="7200"/>
        </w:tabs>
      </w:pPr>
    </w:p>
    <w:p w14:paraId="2A120FD6" w14:textId="77777777" w:rsidR="00F25BC6" w:rsidRDefault="00F25BC6" w:rsidP="00AD7DA0">
      <w:pPr>
        <w:tabs>
          <w:tab w:val="left" w:pos="7200"/>
        </w:tabs>
      </w:pPr>
    </w:p>
    <w:p w14:paraId="11F65AD7" w14:textId="77777777" w:rsidR="00F25BC6" w:rsidRDefault="00F25BC6" w:rsidP="00AD7DA0">
      <w:pPr>
        <w:tabs>
          <w:tab w:val="left" w:pos="7200"/>
        </w:tabs>
      </w:pPr>
    </w:p>
    <w:p w14:paraId="33079245" w14:textId="77777777" w:rsidR="00F25BC6" w:rsidRDefault="00F25BC6" w:rsidP="00AD7DA0">
      <w:pPr>
        <w:tabs>
          <w:tab w:val="left" w:pos="7200"/>
        </w:tabs>
      </w:pPr>
    </w:p>
    <w:p w14:paraId="44832254" w14:textId="77777777" w:rsidR="00F25BC6" w:rsidRDefault="00F25BC6" w:rsidP="00AD7DA0">
      <w:pPr>
        <w:tabs>
          <w:tab w:val="left" w:pos="7200"/>
        </w:tabs>
      </w:pPr>
    </w:p>
    <w:p w14:paraId="75C8D25E" w14:textId="77777777" w:rsidR="00F25BC6" w:rsidRDefault="00F25BC6" w:rsidP="00AD7DA0">
      <w:pPr>
        <w:tabs>
          <w:tab w:val="left" w:pos="7200"/>
        </w:tabs>
      </w:pPr>
    </w:p>
    <w:p w14:paraId="343B68E5" w14:textId="77777777" w:rsidR="00F25BC6" w:rsidRDefault="00F25BC6" w:rsidP="00AD7DA0">
      <w:pPr>
        <w:tabs>
          <w:tab w:val="left" w:pos="7200"/>
        </w:tabs>
      </w:pPr>
    </w:p>
    <w:p w14:paraId="6633DFB2" w14:textId="77777777" w:rsidR="00F25BC6" w:rsidRDefault="00F25BC6" w:rsidP="00AD7DA0">
      <w:pPr>
        <w:tabs>
          <w:tab w:val="left" w:pos="7200"/>
        </w:tabs>
      </w:pPr>
    </w:p>
    <w:p w14:paraId="6F19ACF1" w14:textId="77777777" w:rsidR="00F25BC6" w:rsidRDefault="00F25BC6" w:rsidP="00AD7DA0">
      <w:pPr>
        <w:tabs>
          <w:tab w:val="left" w:pos="7200"/>
        </w:tabs>
      </w:pPr>
    </w:p>
    <w:p w14:paraId="470C8E5D" w14:textId="77777777" w:rsidR="00F25BC6" w:rsidRDefault="00F25BC6" w:rsidP="00AD7DA0">
      <w:pPr>
        <w:tabs>
          <w:tab w:val="left" w:pos="7200"/>
        </w:tabs>
      </w:pPr>
    </w:p>
    <w:p w14:paraId="47BE6684" w14:textId="77777777" w:rsidR="00F25BC6" w:rsidRDefault="00F25BC6" w:rsidP="00AD7DA0">
      <w:pPr>
        <w:tabs>
          <w:tab w:val="left" w:pos="7200"/>
        </w:tabs>
      </w:pPr>
    </w:p>
    <w:p w14:paraId="6E6FC2E5" w14:textId="77777777" w:rsidR="00CC2527" w:rsidRDefault="00CC2527" w:rsidP="00CC2527">
      <w:pPr>
        <w:spacing w:after="0"/>
        <w:rPr>
          <w:rFonts w:asciiTheme="majorHAnsi" w:eastAsia="Arial Unicode MS" w:hAnsiTheme="majorHAnsi" w:cstheme="majorHAnsi"/>
          <w:color w:val="2E74B5" w:themeColor="accent1" w:themeShade="BF"/>
          <w:sz w:val="24"/>
          <w:szCs w:val="24"/>
        </w:rPr>
      </w:pPr>
    </w:p>
    <w:p w14:paraId="5094CF70" w14:textId="77777777" w:rsidR="00CC2527" w:rsidRDefault="00CC2527" w:rsidP="00CC2527">
      <w:pPr>
        <w:spacing w:after="0"/>
        <w:rPr>
          <w:rFonts w:asciiTheme="majorHAnsi" w:eastAsia="Arial Unicode MS" w:hAnsiTheme="majorHAnsi" w:cstheme="majorHAnsi"/>
          <w:color w:val="2E74B5" w:themeColor="accent1" w:themeShade="BF"/>
          <w:sz w:val="24"/>
          <w:szCs w:val="24"/>
        </w:rPr>
      </w:pPr>
    </w:p>
    <w:p w14:paraId="77E6EC74" w14:textId="77777777" w:rsidR="00CC2527" w:rsidRDefault="00CC2527" w:rsidP="00CC2527">
      <w:pPr>
        <w:spacing w:after="0"/>
        <w:rPr>
          <w:rFonts w:asciiTheme="majorHAnsi" w:eastAsia="Arial Unicode MS" w:hAnsiTheme="majorHAnsi" w:cstheme="majorHAnsi"/>
          <w:color w:val="2E74B5" w:themeColor="accent1" w:themeShade="BF"/>
          <w:sz w:val="24"/>
          <w:szCs w:val="24"/>
        </w:rPr>
      </w:pPr>
    </w:p>
    <w:p w14:paraId="710A0623" w14:textId="77777777" w:rsidR="00CC2527" w:rsidRDefault="00CC2527" w:rsidP="00CC2527">
      <w:pPr>
        <w:spacing w:after="0"/>
        <w:rPr>
          <w:rFonts w:asciiTheme="majorHAnsi" w:eastAsia="Arial Unicode MS" w:hAnsiTheme="majorHAnsi" w:cstheme="majorHAnsi"/>
          <w:color w:val="2E74B5" w:themeColor="accent1" w:themeShade="BF"/>
          <w:sz w:val="24"/>
          <w:szCs w:val="24"/>
        </w:rPr>
      </w:pPr>
    </w:p>
    <w:p w14:paraId="289A716A" w14:textId="77777777" w:rsidR="00CC2527" w:rsidRDefault="00CC2527" w:rsidP="00CC2527">
      <w:pPr>
        <w:spacing w:after="0"/>
        <w:rPr>
          <w:rFonts w:asciiTheme="majorHAnsi" w:eastAsia="Arial Unicode MS" w:hAnsiTheme="majorHAnsi" w:cstheme="majorHAnsi"/>
          <w:color w:val="2E74B5" w:themeColor="accent1" w:themeShade="BF"/>
          <w:sz w:val="24"/>
          <w:szCs w:val="24"/>
        </w:rPr>
      </w:pPr>
    </w:p>
    <w:p w14:paraId="47FDBD5C" w14:textId="77777777" w:rsidR="00CC2527" w:rsidRDefault="00CC2527" w:rsidP="00CC2527">
      <w:pPr>
        <w:spacing w:after="0"/>
        <w:rPr>
          <w:rFonts w:asciiTheme="majorHAnsi" w:eastAsia="Arial Unicode MS" w:hAnsiTheme="majorHAnsi" w:cstheme="majorHAnsi"/>
          <w:color w:val="2E74B5" w:themeColor="accent1" w:themeShade="BF"/>
          <w:sz w:val="24"/>
          <w:szCs w:val="24"/>
        </w:rPr>
      </w:pPr>
    </w:p>
    <w:p w14:paraId="6C5641B2" w14:textId="77777777" w:rsidR="00CC2527" w:rsidRDefault="00CC2527" w:rsidP="00CC2527">
      <w:pPr>
        <w:spacing w:after="0"/>
        <w:rPr>
          <w:rFonts w:asciiTheme="majorHAnsi" w:eastAsia="Arial Unicode MS" w:hAnsiTheme="majorHAnsi" w:cstheme="majorHAnsi"/>
          <w:color w:val="2E74B5" w:themeColor="accent1" w:themeShade="BF"/>
          <w:sz w:val="24"/>
          <w:szCs w:val="24"/>
        </w:rPr>
      </w:pPr>
    </w:p>
    <w:p w14:paraId="44232A3F" w14:textId="77777777" w:rsidR="00CC2527" w:rsidRDefault="00CC2527" w:rsidP="00CC2527">
      <w:pPr>
        <w:spacing w:after="0"/>
        <w:rPr>
          <w:rFonts w:asciiTheme="majorHAnsi" w:eastAsia="Arial Unicode MS" w:hAnsiTheme="majorHAnsi" w:cstheme="majorHAnsi"/>
          <w:color w:val="2E74B5" w:themeColor="accent1" w:themeShade="BF"/>
          <w:sz w:val="24"/>
          <w:szCs w:val="24"/>
        </w:rPr>
      </w:pPr>
    </w:p>
    <w:p w14:paraId="141891F9" w14:textId="77777777" w:rsidR="00F25BC6" w:rsidRPr="00CC2527" w:rsidRDefault="00CC2527" w:rsidP="00CC2527">
      <w:pPr>
        <w:spacing w:after="0"/>
        <w:rPr>
          <w:rFonts w:asciiTheme="majorHAnsi" w:eastAsia="Arial Unicode MS" w:hAnsiTheme="majorHAnsi" w:cstheme="majorHAnsi"/>
          <w:color w:val="2E74B5" w:themeColor="accent1" w:themeShade="BF"/>
          <w:sz w:val="24"/>
          <w:szCs w:val="24"/>
        </w:rPr>
      </w:pPr>
      <w:r w:rsidRPr="00CC2527">
        <w:rPr>
          <w:rFonts w:asciiTheme="majorHAnsi" w:eastAsia="Arial Unicode MS" w:hAnsiTheme="majorHAnsi" w:cstheme="majorHAnsi"/>
          <w:color w:val="2E74B5" w:themeColor="accent1" w:themeShade="BF"/>
          <w:sz w:val="24"/>
          <w:szCs w:val="24"/>
        </w:rPr>
        <w:t>Opracowano w Wydziale Analiz</w:t>
      </w:r>
    </w:p>
    <w:p w14:paraId="0DA4C431" w14:textId="77777777" w:rsidR="00CC2527" w:rsidRPr="00AD7DA0" w:rsidRDefault="00CC2527" w:rsidP="00CC2527">
      <w:pPr>
        <w:spacing w:after="0"/>
        <w:sectPr w:rsidR="00CC2527" w:rsidRPr="00AD7DA0" w:rsidSect="00466B98"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2"/>
          <w:cols w:space="708"/>
          <w:titlePg/>
          <w:docGrid w:linePitch="360"/>
        </w:sectPr>
      </w:pPr>
      <w:r w:rsidRPr="00CC2527">
        <w:rPr>
          <w:rFonts w:asciiTheme="majorHAnsi" w:eastAsia="Arial Unicode MS" w:hAnsiTheme="majorHAnsi" w:cstheme="majorHAnsi"/>
          <w:color w:val="2E74B5" w:themeColor="accent1" w:themeShade="BF"/>
          <w:sz w:val="24"/>
          <w:szCs w:val="24"/>
        </w:rPr>
        <w:t>Departament Strategii</w:t>
      </w:r>
    </w:p>
    <w:p w14:paraId="05075143" w14:textId="77777777" w:rsidR="003F1607" w:rsidRPr="00DB5F72" w:rsidRDefault="003F1607" w:rsidP="00DB5F72">
      <w:pPr>
        <w:pStyle w:val="Nagwek1"/>
        <w:numPr>
          <w:ilvl w:val="0"/>
          <w:numId w:val="19"/>
        </w:numPr>
        <w:spacing w:after="240"/>
        <w:ind w:left="993" w:hanging="426"/>
        <w:rPr>
          <w:rFonts w:eastAsiaTheme="minorEastAsia"/>
          <w:b/>
        </w:rPr>
      </w:pPr>
      <w:bookmarkStart w:id="0" w:name="_Toc55888883"/>
      <w:r w:rsidRPr="00DB5F72">
        <w:rPr>
          <w:rFonts w:eastAsiaTheme="minorEastAsia"/>
          <w:b/>
        </w:rPr>
        <w:lastRenderedPageBreak/>
        <w:t>Alokacja w ramach polityki spójności i Funduszu Sprawiedliwej Transformacji</w:t>
      </w:r>
      <w:bookmarkEnd w:id="0"/>
    </w:p>
    <w:p w14:paraId="04C5396E" w14:textId="77777777" w:rsidR="00BC55ED" w:rsidRPr="00DB5F72" w:rsidRDefault="00BC55ED" w:rsidP="00A15CA2">
      <w:pPr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</w:pPr>
      <w:r w:rsidRPr="00DB5F72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>Alokacja dla Polski</w:t>
      </w:r>
      <w:r w:rsidR="00EA03B8" w:rsidRPr="00DB5F72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 xml:space="preserve"> </w:t>
      </w:r>
    </w:p>
    <w:p w14:paraId="1D38EC62" w14:textId="0F93967B" w:rsidR="000F5C90" w:rsidRDefault="00BC55ED" w:rsidP="00BC55ED">
      <w:pPr>
        <w:jc w:val="both"/>
      </w:pPr>
      <w:r>
        <w:t>Zgo</w:t>
      </w:r>
      <w:r w:rsidR="005F0DC6">
        <w:t>d</w:t>
      </w:r>
      <w:r>
        <w:t xml:space="preserve">nie z </w:t>
      </w:r>
      <w:r w:rsidR="004E5711">
        <w:t>K</w:t>
      </w:r>
      <w:r w:rsidR="00242BDB">
        <w:t>onkluzjami</w:t>
      </w:r>
      <w:r w:rsidR="00BF5A90">
        <w:t xml:space="preserve"> Rady Europejs</w:t>
      </w:r>
      <w:bookmarkStart w:id="1" w:name="_GoBack"/>
      <w:bookmarkEnd w:id="1"/>
      <w:r w:rsidR="00BF5A90">
        <w:t xml:space="preserve">kiej </w:t>
      </w:r>
      <w:r w:rsidR="00242BDB">
        <w:t xml:space="preserve">z dn. 21 lipca </w:t>
      </w:r>
      <w:r>
        <w:t>20</w:t>
      </w:r>
      <w:r w:rsidR="00F11719">
        <w:t>20</w:t>
      </w:r>
      <w:r>
        <w:t xml:space="preserve"> r.</w:t>
      </w:r>
      <w:r w:rsidR="003F2DC4">
        <w:t>,</w:t>
      </w:r>
      <w:r>
        <w:t xml:space="preserve"> </w:t>
      </w:r>
      <w:r w:rsidRPr="00035BBF">
        <w:rPr>
          <w:b/>
        </w:rPr>
        <w:t xml:space="preserve">alokacja na realizację polityki spójności w Polsce ma wynieść </w:t>
      </w:r>
      <w:r w:rsidR="000F5C90" w:rsidRPr="00035BBF">
        <w:rPr>
          <w:b/>
        </w:rPr>
        <w:t xml:space="preserve">ok. 66,4 </w:t>
      </w:r>
      <w:r w:rsidRPr="00035BBF">
        <w:rPr>
          <w:b/>
        </w:rPr>
        <w:t>mld euro</w:t>
      </w:r>
      <w:r>
        <w:rPr>
          <w:rStyle w:val="Odwoanieprzypisudolnego"/>
        </w:rPr>
        <w:footnoteReference w:id="1"/>
      </w:r>
      <w:r>
        <w:t xml:space="preserve">. </w:t>
      </w:r>
    </w:p>
    <w:tbl>
      <w:tblPr>
        <w:tblStyle w:val="Tabelasiatki1jasnaakcent5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558" w:rsidRPr="001A2558" w14:paraId="64490B3F" w14:textId="77777777" w:rsidTr="001A2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BD120A7" w14:textId="77777777" w:rsidR="001A2558" w:rsidRPr="00862741" w:rsidRDefault="001A2558" w:rsidP="001A2558">
            <w:pPr>
              <w:spacing w:before="120" w:after="120"/>
              <w:jc w:val="both"/>
              <w:rPr>
                <w:b w:val="0"/>
                <w:sz w:val="20"/>
                <w:szCs w:val="20"/>
              </w:rPr>
            </w:pPr>
            <w:r w:rsidRPr="00862741">
              <w:rPr>
                <w:b w:val="0"/>
                <w:sz w:val="20"/>
                <w:szCs w:val="20"/>
              </w:rPr>
              <w:t xml:space="preserve">W dniu 9 września 2020 r. KE opublikowała fiszę nr 86 dotyczącą podziału alokacji polityki spójności 2021-2027 poszczególnych państw członkowskich na fundusze strukturalne oraz Fundusz Spójności. Alokacje zostały wyliczone w oparciu o ustalenia Rady Europejskiej z dn. 17-21 lipca br. </w:t>
            </w:r>
          </w:p>
          <w:p w14:paraId="10DE713A" w14:textId="77777777" w:rsidR="001A2558" w:rsidRPr="00862741" w:rsidRDefault="001A2558" w:rsidP="001A2558">
            <w:pPr>
              <w:spacing w:before="120" w:after="120"/>
              <w:jc w:val="both"/>
              <w:rPr>
                <w:b w:val="0"/>
                <w:sz w:val="20"/>
                <w:szCs w:val="20"/>
              </w:rPr>
            </w:pPr>
            <w:r w:rsidRPr="00862741">
              <w:rPr>
                <w:b w:val="0"/>
                <w:sz w:val="20"/>
                <w:szCs w:val="20"/>
              </w:rPr>
              <w:t xml:space="preserve">Alokacja ogółem polityki spójności została pomniejszona o środki niepodzielone bezpośrednio </w:t>
            </w:r>
            <w:r w:rsidR="00EC62CF">
              <w:rPr>
                <w:b w:val="0"/>
                <w:sz w:val="20"/>
                <w:szCs w:val="20"/>
              </w:rPr>
              <w:t xml:space="preserve">na </w:t>
            </w:r>
            <w:r w:rsidRPr="00862741">
              <w:rPr>
                <w:b w:val="0"/>
                <w:sz w:val="20"/>
                <w:szCs w:val="20"/>
              </w:rPr>
              <w:t>państw</w:t>
            </w:r>
            <w:r w:rsidR="00EC62CF">
              <w:rPr>
                <w:b w:val="0"/>
                <w:sz w:val="20"/>
                <w:szCs w:val="20"/>
              </w:rPr>
              <w:t>a</w:t>
            </w:r>
            <w:r w:rsidRPr="00862741">
              <w:rPr>
                <w:b w:val="0"/>
                <w:sz w:val="20"/>
                <w:szCs w:val="20"/>
              </w:rPr>
              <w:t xml:space="preserve"> członkowski</w:t>
            </w:r>
            <w:r w:rsidR="00EC62CF">
              <w:rPr>
                <w:b w:val="0"/>
                <w:sz w:val="20"/>
                <w:szCs w:val="20"/>
              </w:rPr>
              <w:t xml:space="preserve">e, przeznaczone na </w:t>
            </w:r>
            <w:r w:rsidRPr="00862741">
              <w:rPr>
                <w:b w:val="0"/>
                <w:sz w:val="20"/>
                <w:szCs w:val="20"/>
              </w:rPr>
              <w:t>międzyregionaln</w:t>
            </w:r>
            <w:r w:rsidR="00EC62CF">
              <w:rPr>
                <w:b w:val="0"/>
                <w:sz w:val="20"/>
                <w:szCs w:val="20"/>
              </w:rPr>
              <w:t>e</w:t>
            </w:r>
            <w:r w:rsidRPr="00862741">
              <w:rPr>
                <w:b w:val="0"/>
                <w:sz w:val="20"/>
                <w:szCs w:val="20"/>
              </w:rPr>
              <w:t xml:space="preserve"> inwestycji</w:t>
            </w:r>
            <w:r w:rsidR="00EC62CF">
              <w:rPr>
                <w:b w:val="0"/>
                <w:sz w:val="20"/>
                <w:szCs w:val="20"/>
              </w:rPr>
              <w:t>e</w:t>
            </w:r>
            <w:r w:rsidRPr="00862741">
              <w:rPr>
                <w:b w:val="0"/>
                <w:sz w:val="20"/>
                <w:szCs w:val="20"/>
              </w:rPr>
              <w:t xml:space="preserve"> na rzecz innowacji i europejsk</w:t>
            </w:r>
            <w:r w:rsidR="00EC62CF">
              <w:rPr>
                <w:b w:val="0"/>
                <w:sz w:val="20"/>
                <w:szCs w:val="20"/>
              </w:rPr>
              <w:t>ą</w:t>
            </w:r>
            <w:r w:rsidRPr="00862741">
              <w:rPr>
                <w:b w:val="0"/>
                <w:sz w:val="20"/>
                <w:szCs w:val="20"/>
              </w:rPr>
              <w:t xml:space="preserve"> inicjatyw</w:t>
            </w:r>
            <w:r w:rsidR="00EC62CF">
              <w:rPr>
                <w:b w:val="0"/>
                <w:sz w:val="20"/>
                <w:szCs w:val="20"/>
              </w:rPr>
              <w:t>ę</w:t>
            </w:r>
            <w:r w:rsidRPr="00862741">
              <w:rPr>
                <w:b w:val="0"/>
                <w:sz w:val="20"/>
                <w:szCs w:val="20"/>
              </w:rPr>
              <w:t xml:space="preserve"> miejsk</w:t>
            </w:r>
            <w:r w:rsidR="00EC62CF">
              <w:rPr>
                <w:b w:val="0"/>
                <w:sz w:val="20"/>
                <w:szCs w:val="20"/>
              </w:rPr>
              <w:t>ą</w:t>
            </w:r>
            <w:r w:rsidRPr="00862741">
              <w:rPr>
                <w:b w:val="0"/>
                <w:sz w:val="20"/>
                <w:szCs w:val="20"/>
              </w:rPr>
              <w:t xml:space="preserve"> w ramach EFRR, międzyregionaln</w:t>
            </w:r>
            <w:r w:rsidR="00EC62CF">
              <w:rPr>
                <w:b w:val="0"/>
                <w:sz w:val="20"/>
                <w:szCs w:val="20"/>
              </w:rPr>
              <w:t>y</w:t>
            </w:r>
            <w:r w:rsidRPr="00862741">
              <w:rPr>
                <w:b w:val="0"/>
                <w:sz w:val="20"/>
                <w:szCs w:val="20"/>
              </w:rPr>
              <w:t xml:space="preserve"> komponent Interreg, współprac</w:t>
            </w:r>
            <w:r w:rsidR="00EC62CF">
              <w:rPr>
                <w:b w:val="0"/>
                <w:sz w:val="20"/>
                <w:szCs w:val="20"/>
              </w:rPr>
              <w:t>ę</w:t>
            </w:r>
            <w:r w:rsidRPr="00862741">
              <w:rPr>
                <w:b w:val="0"/>
                <w:sz w:val="20"/>
                <w:szCs w:val="20"/>
              </w:rPr>
              <w:t xml:space="preserve"> transnarodow</w:t>
            </w:r>
            <w:r w:rsidR="00EC62CF">
              <w:rPr>
                <w:b w:val="0"/>
                <w:sz w:val="20"/>
                <w:szCs w:val="20"/>
              </w:rPr>
              <w:t>ą</w:t>
            </w:r>
            <w:r w:rsidRPr="00862741">
              <w:rPr>
                <w:b w:val="0"/>
                <w:sz w:val="20"/>
                <w:szCs w:val="20"/>
              </w:rPr>
              <w:t xml:space="preserve"> w ramach EFS+ oraz pomoc techniczn</w:t>
            </w:r>
            <w:r w:rsidR="00EC62CF">
              <w:rPr>
                <w:b w:val="0"/>
                <w:sz w:val="20"/>
                <w:szCs w:val="20"/>
              </w:rPr>
              <w:t>ą</w:t>
            </w:r>
            <w:r w:rsidRPr="00862741">
              <w:rPr>
                <w:b w:val="0"/>
                <w:sz w:val="20"/>
                <w:szCs w:val="20"/>
              </w:rPr>
              <w:t xml:space="preserve"> dla Komisji w ramach EFRR, Funduszu Spójności i EFS+.</w:t>
            </w:r>
          </w:p>
          <w:p w14:paraId="40AA6748" w14:textId="77777777" w:rsidR="001A2558" w:rsidRPr="001A2558" w:rsidRDefault="001A2558" w:rsidP="000A535E">
            <w:pPr>
              <w:spacing w:after="120"/>
              <w:jc w:val="both"/>
              <w:rPr>
                <w:b w:val="0"/>
              </w:rPr>
            </w:pPr>
            <w:r w:rsidRPr="00862741">
              <w:rPr>
                <w:b w:val="0"/>
                <w:sz w:val="20"/>
                <w:szCs w:val="20"/>
              </w:rPr>
              <w:t xml:space="preserve">Z powyższego wynika różnica pomiędzy obecnie prezentowaną kwotą alokacji ogółem dla Polski tj. 66,4 mld euro, a kwotę prezentowaną zaraz po Konkluzjach Rady Europejskiej tj. </w:t>
            </w:r>
            <w:r w:rsidRPr="00944EA8">
              <w:rPr>
                <w:b w:val="0"/>
                <w:sz w:val="20"/>
                <w:szCs w:val="20"/>
              </w:rPr>
              <w:t>66,8 mld euro.</w:t>
            </w:r>
            <w:r w:rsidRPr="00862741">
              <w:rPr>
                <w:b w:val="0"/>
                <w:sz w:val="20"/>
                <w:szCs w:val="20"/>
              </w:rPr>
              <w:t xml:space="preserve"> </w:t>
            </w:r>
          </w:p>
        </w:tc>
      </w:tr>
    </w:tbl>
    <w:p w14:paraId="614164C6" w14:textId="77777777" w:rsidR="00BC55ED" w:rsidRDefault="000F5C90" w:rsidP="001A2558">
      <w:pPr>
        <w:spacing w:before="120" w:after="240" w:line="240" w:lineRule="auto"/>
        <w:jc w:val="both"/>
        <w:rPr>
          <w:rFonts w:cstheme="minorHAnsi"/>
        </w:rPr>
      </w:pPr>
      <w:r>
        <w:rPr>
          <w:rFonts w:cstheme="minorHAnsi"/>
        </w:rPr>
        <w:t>Od powyższej kwoty odjęty</w:t>
      </w:r>
      <w:r w:rsidR="001A2558">
        <w:rPr>
          <w:rFonts w:cstheme="minorHAnsi"/>
        </w:rPr>
        <w:t xml:space="preserve"> zostanie obowiązkowy</w:t>
      </w:r>
      <w:r w:rsidR="00BC55ED" w:rsidRPr="004F798E">
        <w:rPr>
          <w:rFonts w:cstheme="minorHAnsi"/>
        </w:rPr>
        <w:t xml:space="preserve"> trans</w:t>
      </w:r>
      <w:r w:rsidR="001A2558">
        <w:rPr>
          <w:rFonts w:cstheme="minorHAnsi"/>
        </w:rPr>
        <w:t>fer</w:t>
      </w:r>
      <w:r w:rsidR="00BC55ED" w:rsidRPr="004F798E">
        <w:rPr>
          <w:rFonts w:cstheme="minorHAnsi"/>
        </w:rPr>
        <w:t xml:space="preserve"> na CEF w wysokości </w:t>
      </w:r>
      <w:r w:rsidR="00242BDB">
        <w:rPr>
          <w:rFonts w:cstheme="minorHAnsi"/>
        </w:rPr>
        <w:t xml:space="preserve">ok. </w:t>
      </w:r>
      <w:r w:rsidR="00BC55ED" w:rsidRPr="004F798E">
        <w:rPr>
          <w:rFonts w:cstheme="minorHAnsi"/>
        </w:rPr>
        <w:t>2</w:t>
      </w:r>
      <w:r w:rsidR="008D268E">
        <w:rPr>
          <w:rFonts w:cstheme="minorHAnsi"/>
        </w:rPr>
        <w:t>,5</w:t>
      </w:r>
      <w:r w:rsidR="00BC55ED" w:rsidRPr="004F798E">
        <w:rPr>
          <w:rFonts w:cstheme="minorHAnsi"/>
        </w:rPr>
        <w:t xml:space="preserve"> mld euro. Dostępna alokacja dla Polski będzie wynosiła </w:t>
      </w:r>
      <w:r w:rsidR="00242BDB">
        <w:rPr>
          <w:rFonts w:cstheme="minorHAnsi"/>
        </w:rPr>
        <w:t xml:space="preserve">prawie </w:t>
      </w:r>
      <w:r w:rsidR="008D268E">
        <w:rPr>
          <w:rFonts w:cstheme="minorHAnsi"/>
        </w:rPr>
        <w:t>63,9</w:t>
      </w:r>
      <w:r w:rsidR="00BC55ED" w:rsidRPr="004F798E">
        <w:rPr>
          <w:rFonts w:cstheme="minorHAnsi"/>
        </w:rPr>
        <w:t xml:space="preserve"> mld euro,</w:t>
      </w:r>
      <w:r w:rsidR="003F2DC4">
        <w:rPr>
          <w:rFonts w:cstheme="minorHAnsi"/>
        </w:rPr>
        <w:t xml:space="preserve"> z czego alokacja  EFS+ wyniesie</w:t>
      </w:r>
      <w:r w:rsidR="00BC55ED" w:rsidRPr="004F798E">
        <w:rPr>
          <w:rFonts w:cstheme="minorHAnsi"/>
        </w:rPr>
        <w:t xml:space="preserve"> </w:t>
      </w:r>
      <w:r w:rsidR="00242BDB">
        <w:rPr>
          <w:rFonts w:cstheme="minorHAnsi"/>
        </w:rPr>
        <w:t>13,</w:t>
      </w:r>
      <w:r w:rsidR="008D268E">
        <w:rPr>
          <w:rFonts w:cstheme="minorHAnsi"/>
        </w:rPr>
        <w:t>2</w:t>
      </w:r>
      <w:r w:rsidR="00BC55ED" w:rsidRPr="004F798E">
        <w:rPr>
          <w:rFonts w:cstheme="minorHAnsi"/>
        </w:rPr>
        <w:t xml:space="preserve"> mld euro, alokacja  EFRR – </w:t>
      </w:r>
      <w:r w:rsidR="008D268E">
        <w:rPr>
          <w:rFonts w:cstheme="minorHAnsi"/>
        </w:rPr>
        <w:t>41,9</w:t>
      </w:r>
      <w:r w:rsidR="00BC55ED" w:rsidRPr="004F798E">
        <w:rPr>
          <w:rFonts w:cstheme="minorHAnsi"/>
        </w:rPr>
        <w:t xml:space="preserve"> mld euro, natomiast Funduszu Spójności – </w:t>
      </w:r>
      <w:r w:rsidR="008D268E">
        <w:rPr>
          <w:rFonts w:cstheme="minorHAnsi"/>
        </w:rPr>
        <w:t>8,2</w:t>
      </w:r>
      <w:r w:rsidR="00BC55ED" w:rsidRPr="004F798E">
        <w:rPr>
          <w:rFonts w:cstheme="minorHAnsi"/>
        </w:rPr>
        <w:t xml:space="preserve"> mld euro. Środki dostępne w ramach EWT wyniosą </w:t>
      </w:r>
      <w:r w:rsidR="008D268E">
        <w:rPr>
          <w:rFonts w:cstheme="minorHAnsi"/>
        </w:rPr>
        <w:t>niecałe 0,5</w:t>
      </w:r>
      <w:r w:rsidR="00BC55ED" w:rsidRPr="004F798E">
        <w:rPr>
          <w:rFonts w:cstheme="minorHAnsi"/>
        </w:rPr>
        <w:t xml:space="preserve"> mld euro.</w:t>
      </w:r>
    </w:p>
    <w:tbl>
      <w:tblPr>
        <w:tblW w:w="7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992"/>
        <w:gridCol w:w="992"/>
      </w:tblGrid>
      <w:tr w:rsidR="00862741" w:rsidRPr="00862741" w14:paraId="285B09C2" w14:textId="77777777" w:rsidTr="00862741">
        <w:trPr>
          <w:trHeight w:val="345"/>
          <w:jc w:val="center"/>
        </w:trPr>
        <w:tc>
          <w:tcPr>
            <w:tcW w:w="5954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24C3E78F" w14:textId="77777777" w:rsidR="00862741" w:rsidRPr="00862741" w:rsidRDefault="00862741" w:rsidP="0086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Alokacja dla PL, transfery</w:t>
            </w:r>
          </w:p>
        </w:tc>
        <w:tc>
          <w:tcPr>
            <w:tcW w:w="992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0A971472" w14:textId="77777777" w:rsidR="00862741" w:rsidRPr="00862741" w:rsidRDefault="00862741" w:rsidP="0086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2014-2020</w:t>
            </w:r>
          </w:p>
        </w:tc>
        <w:tc>
          <w:tcPr>
            <w:tcW w:w="992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60F8156E" w14:textId="77777777" w:rsidR="00862741" w:rsidRPr="00862741" w:rsidRDefault="00862741" w:rsidP="0086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2021-2027</w:t>
            </w:r>
          </w:p>
        </w:tc>
      </w:tr>
      <w:tr w:rsidR="00862741" w:rsidRPr="00862741" w14:paraId="7A2678E7" w14:textId="77777777" w:rsidTr="00862741">
        <w:trPr>
          <w:trHeight w:val="315"/>
          <w:jc w:val="center"/>
        </w:trPr>
        <w:tc>
          <w:tcPr>
            <w:tcW w:w="5954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4792276D" w14:textId="77777777" w:rsidR="00862741" w:rsidRPr="00862741" w:rsidRDefault="00862741" w:rsidP="0086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4CFF532B" w14:textId="77777777" w:rsidR="00862741" w:rsidRPr="00862741" w:rsidRDefault="00862741" w:rsidP="0086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mln euro</w:t>
            </w:r>
          </w:p>
        </w:tc>
      </w:tr>
      <w:tr w:rsidR="00862741" w:rsidRPr="00862741" w14:paraId="258D94C5" w14:textId="77777777" w:rsidTr="00862741">
        <w:trPr>
          <w:trHeight w:val="315"/>
          <w:jc w:val="center"/>
        </w:trPr>
        <w:tc>
          <w:tcPr>
            <w:tcW w:w="595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000000" w:fill="8EA9DB"/>
            <w:noWrap/>
            <w:vAlign w:val="center"/>
            <w:hideMark/>
          </w:tcPr>
          <w:p w14:paraId="30F91F6B" w14:textId="77777777" w:rsidR="00862741" w:rsidRPr="00862741" w:rsidRDefault="00862741" w:rsidP="0086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Całkowita alokacja dla Polski po obowiązkowych transferach (z wyjątkiem CEF)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000000" w:fill="8EA9DB"/>
            <w:noWrap/>
            <w:vAlign w:val="center"/>
            <w:hideMark/>
          </w:tcPr>
          <w:p w14:paraId="60371C1E" w14:textId="77777777" w:rsidR="00862741" w:rsidRPr="00862741" w:rsidRDefault="00862741" w:rsidP="0086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82 763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000000" w:fill="8EA9DB"/>
            <w:noWrap/>
            <w:vAlign w:val="center"/>
            <w:hideMark/>
          </w:tcPr>
          <w:p w14:paraId="3D3E9958" w14:textId="77777777" w:rsidR="00862741" w:rsidRPr="00862741" w:rsidRDefault="00862741" w:rsidP="0086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66 422</w:t>
            </w:r>
          </w:p>
        </w:tc>
      </w:tr>
      <w:tr w:rsidR="00862741" w:rsidRPr="00862741" w14:paraId="7507833F" w14:textId="77777777" w:rsidTr="00862741">
        <w:trPr>
          <w:trHeight w:val="315"/>
          <w:jc w:val="center"/>
        </w:trPr>
        <w:tc>
          <w:tcPr>
            <w:tcW w:w="595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43910E33" w14:textId="77777777" w:rsidR="00862741" w:rsidRPr="00862741" w:rsidRDefault="00862741" w:rsidP="0086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Transfer do CEF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4C6E7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2EDAA30E" w14:textId="77777777" w:rsidR="00862741" w:rsidRPr="00862741" w:rsidRDefault="00862741" w:rsidP="0086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14AE127A" w14:textId="77777777" w:rsidR="00862741" w:rsidRPr="00862741" w:rsidRDefault="00862741" w:rsidP="0086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2 533</w:t>
            </w:r>
          </w:p>
        </w:tc>
      </w:tr>
      <w:tr w:rsidR="00862741" w:rsidRPr="00862741" w14:paraId="107103DA" w14:textId="77777777" w:rsidTr="00862741">
        <w:trPr>
          <w:trHeight w:val="315"/>
          <w:jc w:val="center"/>
        </w:trPr>
        <w:tc>
          <w:tcPr>
            <w:tcW w:w="595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000000" w:fill="8EA9DB"/>
            <w:noWrap/>
            <w:vAlign w:val="center"/>
            <w:hideMark/>
          </w:tcPr>
          <w:p w14:paraId="3C42F92E" w14:textId="77777777" w:rsidR="00862741" w:rsidRPr="00862741" w:rsidRDefault="00862741" w:rsidP="0086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Alokacja dla PL po transferze do CEF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000000" w:fill="8EA9DB"/>
            <w:noWrap/>
            <w:vAlign w:val="center"/>
            <w:hideMark/>
          </w:tcPr>
          <w:p w14:paraId="705E25C3" w14:textId="77777777" w:rsidR="00862741" w:rsidRPr="00862741" w:rsidRDefault="00862741" w:rsidP="0086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78 626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000000" w:fill="8EA9DB"/>
            <w:noWrap/>
            <w:vAlign w:val="center"/>
            <w:hideMark/>
          </w:tcPr>
          <w:p w14:paraId="66DB91B0" w14:textId="77777777" w:rsidR="00862741" w:rsidRPr="00862741" w:rsidRDefault="00862741" w:rsidP="0086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63 889</w:t>
            </w:r>
          </w:p>
        </w:tc>
      </w:tr>
      <w:tr w:rsidR="00862741" w:rsidRPr="00862741" w14:paraId="69813355" w14:textId="77777777" w:rsidTr="00862741">
        <w:trPr>
          <w:trHeight w:val="315"/>
          <w:jc w:val="center"/>
        </w:trPr>
        <w:tc>
          <w:tcPr>
            <w:tcW w:w="595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000000" w:fill="D9E1F2"/>
            <w:vAlign w:val="center"/>
            <w:hideMark/>
          </w:tcPr>
          <w:p w14:paraId="5AAD7FC9" w14:textId="77777777" w:rsidR="00862741" w:rsidRPr="00862741" w:rsidRDefault="00862741" w:rsidP="0086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Cel: Inwestycje na rzecz wzrostu gospodarczego i zatrudnienia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000000" w:fill="D9E1F2"/>
            <w:noWrap/>
            <w:vAlign w:val="center"/>
            <w:hideMark/>
          </w:tcPr>
          <w:p w14:paraId="4D0C27B2" w14:textId="77777777" w:rsidR="00862741" w:rsidRPr="00862741" w:rsidRDefault="00862741" w:rsidP="0086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77 914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000000" w:fill="D9E1F2"/>
            <w:noWrap/>
            <w:vAlign w:val="center"/>
            <w:hideMark/>
          </w:tcPr>
          <w:p w14:paraId="665BC429" w14:textId="77777777" w:rsidR="00862741" w:rsidRPr="00862741" w:rsidRDefault="00862741" w:rsidP="0086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63 392</w:t>
            </w:r>
          </w:p>
        </w:tc>
      </w:tr>
      <w:tr w:rsidR="00862741" w:rsidRPr="00862741" w14:paraId="48BF1922" w14:textId="77777777" w:rsidTr="00862741">
        <w:trPr>
          <w:trHeight w:val="300"/>
          <w:jc w:val="center"/>
        </w:trPr>
        <w:tc>
          <w:tcPr>
            <w:tcW w:w="595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1C9B26F0" w14:textId="77777777" w:rsidR="00862741" w:rsidRPr="00862741" w:rsidRDefault="00862741" w:rsidP="0086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Fundusze strukturalne, w tym: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4C6E7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07317D9D" w14:textId="77777777" w:rsidR="00862741" w:rsidRPr="00862741" w:rsidRDefault="00DB5F72" w:rsidP="00DB5F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10AC9AE6" w14:textId="77777777" w:rsidR="00862741" w:rsidRPr="00862741" w:rsidRDefault="00862741" w:rsidP="0086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55 175</w:t>
            </w:r>
          </w:p>
        </w:tc>
      </w:tr>
      <w:tr w:rsidR="00862741" w:rsidRPr="00862741" w14:paraId="755D7B0A" w14:textId="77777777" w:rsidTr="00862741">
        <w:trPr>
          <w:trHeight w:val="315"/>
          <w:jc w:val="center"/>
        </w:trPr>
        <w:tc>
          <w:tcPr>
            <w:tcW w:w="595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6634144D" w14:textId="77777777" w:rsidR="00862741" w:rsidRPr="00862741" w:rsidRDefault="00862741" w:rsidP="0086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EFRR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4C6E7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76FBBDD6" w14:textId="77777777" w:rsidR="00862741" w:rsidRPr="00862741" w:rsidRDefault="00DB5F72" w:rsidP="0086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40 896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32AEC237" w14:textId="77777777" w:rsidR="00862741" w:rsidRPr="00862741" w:rsidRDefault="00862741" w:rsidP="0086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41 974</w:t>
            </w:r>
          </w:p>
        </w:tc>
      </w:tr>
      <w:tr w:rsidR="00862741" w:rsidRPr="00862741" w14:paraId="6830ECC0" w14:textId="77777777" w:rsidTr="00862741">
        <w:trPr>
          <w:trHeight w:val="285"/>
          <w:jc w:val="center"/>
        </w:trPr>
        <w:tc>
          <w:tcPr>
            <w:tcW w:w="595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1E461E47" w14:textId="77777777" w:rsidR="00862741" w:rsidRPr="00862741" w:rsidRDefault="00862741" w:rsidP="0086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EFS+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4C6E7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03045626" w14:textId="77777777" w:rsidR="00862741" w:rsidRPr="00862741" w:rsidRDefault="00DB5F72" w:rsidP="0086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13 416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5869A6CD" w14:textId="77777777" w:rsidR="00862741" w:rsidRPr="00862741" w:rsidRDefault="00862741" w:rsidP="0086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13 201</w:t>
            </w:r>
          </w:p>
        </w:tc>
      </w:tr>
      <w:tr w:rsidR="00862741" w:rsidRPr="00862741" w14:paraId="4D4B7583" w14:textId="77777777" w:rsidTr="00862741">
        <w:trPr>
          <w:trHeight w:val="315"/>
          <w:jc w:val="center"/>
        </w:trPr>
        <w:tc>
          <w:tcPr>
            <w:tcW w:w="595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37F77045" w14:textId="77777777" w:rsidR="00862741" w:rsidRPr="00862741" w:rsidRDefault="00862741" w:rsidP="0086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Fundusz Spójności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4C6E7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2A9ADDD6" w14:textId="77777777" w:rsidR="00862741" w:rsidRPr="00862741" w:rsidRDefault="00DB5F72" w:rsidP="00DB5F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123D1B42" w14:textId="77777777" w:rsidR="00862741" w:rsidRPr="00862741" w:rsidRDefault="00862741" w:rsidP="0086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8 217</w:t>
            </w:r>
          </w:p>
        </w:tc>
      </w:tr>
      <w:tr w:rsidR="00862741" w:rsidRPr="00862741" w14:paraId="2DE4B8A5" w14:textId="77777777" w:rsidTr="00862741">
        <w:trPr>
          <w:trHeight w:val="315"/>
          <w:jc w:val="center"/>
        </w:trPr>
        <w:tc>
          <w:tcPr>
            <w:tcW w:w="595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000000" w:fill="D9E1F2"/>
            <w:noWrap/>
            <w:vAlign w:val="center"/>
            <w:hideMark/>
          </w:tcPr>
          <w:p w14:paraId="62E807D1" w14:textId="77777777" w:rsidR="00862741" w:rsidRPr="00862741" w:rsidRDefault="00862741" w:rsidP="0086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Cel: EWT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000000" w:fill="D9E1F2"/>
            <w:noWrap/>
            <w:vAlign w:val="center"/>
            <w:hideMark/>
          </w:tcPr>
          <w:p w14:paraId="7A80C5F9" w14:textId="77777777" w:rsidR="00862741" w:rsidRPr="00862741" w:rsidRDefault="00862741" w:rsidP="0086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000000" w:fill="D9E1F2"/>
            <w:noWrap/>
            <w:vAlign w:val="center"/>
            <w:hideMark/>
          </w:tcPr>
          <w:p w14:paraId="3937D49F" w14:textId="77777777" w:rsidR="00862741" w:rsidRPr="00862741" w:rsidRDefault="00862741" w:rsidP="0086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62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497</w:t>
            </w:r>
          </w:p>
        </w:tc>
      </w:tr>
    </w:tbl>
    <w:p w14:paraId="3A8C6676" w14:textId="77777777" w:rsidR="00862741" w:rsidRPr="00DB5F72" w:rsidRDefault="00862741" w:rsidP="00A15CA2">
      <w:pPr>
        <w:spacing w:before="240"/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</w:pPr>
      <w:r w:rsidRPr="00DB5F72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 xml:space="preserve">Przesunięcie alokacji pomiędzy funduszami </w:t>
      </w:r>
    </w:p>
    <w:p w14:paraId="37439283" w14:textId="52345AA1" w:rsidR="00862741" w:rsidRDefault="00862741" w:rsidP="00862741">
      <w:pPr>
        <w:jc w:val="both"/>
      </w:pPr>
      <w:r>
        <w:t>P</w:t>
      </w:r>
      <w:r w:rsidRPr="00EA03B8">
        <w:t xml:space="preserve">aństwo członkowskie ma możliwość dokonania </w:t>
      </w:r>
      <w:r w:rsidRPr="00035BBF">
        <w:rPr>
          <w:b/>
        </w:rPr>
        <w:t>transferu w wysokości do 20% całkowitej pierwotnej alokacji krajowej każdego funduszu do dowolnego innego funduszu lub funduszy</w:t>
      </w:r>
      <w:r>
        <w:t xml:space="preserve">. </w:t>
      </w:r>
    </w:p>
    <w:p w14:paraId="051FB769" w14:textId="77777777" w:rsidR="000359A8" w:rsidRDefault="000359A8">
      <w:r>
        <w:br w:type="page"/>
      </w:r>
    </w:p>
    <w:p w14:paraId="365876AB" w14:textId="088583D8" w:rsidR="00313CA3" w:rsidRDefault="00D07BF4" w:rsidP="00862741">
      <w:pPr>
        <w:jc w:val="both"/>
      </w:pPr>
      <w:r>
        <w:lastRenderedPageBreak/>
        <w:t>M</w:t>
      </w:r>
      <w:r w:rsidR="000A535E">
        <w:t>aksymaln</w:t>
      </w:r>
      <w:r>
        <w:t xml:space="preserve">a możliwa kwota transferu środków </w:t>
      </w:r>
      <w:r w:rsidR="000A535E">
        <w:t xml:space="preserve"> EFS+ </w:t>
      </w:r>
      <w:r>
        <w:t xml:space="preserve">zostanie w </w:t>
      </w:r>
      <w:r w:rsidR="004B0F1B">
        <w:t xml:space="preserve"> całości </w:t>
      </w:r>
      <w:r>
        <w:t xml:space="preserve">przesunieta </w:t>
      </w:r>
      <w:r w:rsidR="004B0F1B">
        <w:t xml:space="preserve">do </w:t>
      </w:r>
      <w:r w:rsidR="000A535E">
        <w:t>FS.</w:t>
      </w:r>
    </w:p>
    <w:tbl>
      <w:tblPr>
        <w:tblW w:w="71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4"/>
        <w:gridCol w:w="940"/>
      </w:tblGrid>
      <w:tr w:rsidR="003E35B3" w:rsidRPr="003E35B3" w14:paraId="3F9186C7" w14:textId="77777777" w:rsidTr="00644FB9">
        <w:trPr>
          <w:trHeight w:val="300"/>
          <w:jc w:val="center"/>
        </w:trPr>
        <w:tc>
          <w:tcPr>
            <w:tcW w:w="620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1128F6D0" w14:textId="77777777" w:rsidR="003E35B3" w:rsidRPr="003E35B3" w:rsidRDefault="003E35B3" w:rsidP="003E3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E35B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Transfer środków miedzy funduszami (20% ESF)</w:t>
            </w:r>
          </w:p>
        </w:tc>
        <w:tc>
          <w:tcPr>
            <w:tcW w:w="94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6B91485A" w14:textId="77777777" w:rsidR="003E35B3" w:rsidRPr="003E35B3" w:rsidRDefault="003E35B3" w:rsidP="003E3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E35B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mln euro</w:t>
            </w:r>
          </w:p>
        </w:tc>
      </w:tr>
      <w:tr w:rsidR="003E35B3" w:rsidRPr="003E35B3" w14:paraId="4EDB9C78" w14:textId="77777777" w:rsidTr="00644FB9">
        <w:trPr>
          <w:trHeight w:val="315"/>
          <w:jc w:val="center"/>
        </w:trPr>
        <w:tc>
          <w:tcPr>
            <w:tcW w:w="620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4CEC514A" w14:textId="77777777" w:rsidR="003E35B3" w:rsidRPr="003E35B3" w:rsidRDefault="003E35B3" w:rsidP="003E3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5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Alokacja ESF+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20F76B49" w14:textId="77777777" w:rsidR="003E35B3" w:rsidRPr="003E35B3" w:rsidRDefault="003E35B3" w:rsidP="003E35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5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13 201</w:t>
            </w:r>
          </w:p>
        </w:tc>
      </w:tr>
      <w:tr w:rsidR="003E35B3" w:rsidRPr="003E35B3" w14:paraId="2C558786" w14:textId="77777777" w:rsidTr="00644FB9">
        <w:trPr>
          <w:trHeight w:val="315"/>
          <w:jc w:val="center"/>
        </w:trPr>
        <w:tc>
          <w:tcPr>
            <w:tcW w:w="620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5A0E9656" w14:textId="77777777" w:rsidR="003E35B3" w:rsidRPr="003E35B3" w:rsidRDefault="003E35B3" w:rsidP="003E3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5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Alokacja ESF+ po transferze (80%)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7CAA4CE9" w14:textId="77777777" w:rsidR="003E35B3" w:rsidRPr="003E35B3" w:rsidRDefault="003E35B3" w:rsidP="003E35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5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10 561</w:t>
            </w:r>
          </w:p>
        </w:tc>
      </w:tr>
      <w:tr w:rsidR="003E35B3" w:rsidRPr="003E35B3" w14:paraId="73BC37A9" w14:textId="77777777" w:rsidTr="00644FB9">
        <w:trPr>
          <w:trHeight w:val="315"/>
          <w:jc w:val="center"/>
        </w:trPr>
        <w:tc>
          <w:tcPr>
            <w:tcW w:w="620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683CE356" w14:textId="77777777" w:rsidR="003E35B3" w:rsidRPr="003E35B3" w:rsidRDefault="003E35B3" w:rsidP="003E3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5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Transfer EFS+ (20%)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02EA5B46" w14:textId="77777777" w:rsidR="003E35B3" w:rsidRPr="003E35B3" w:rsidRDefault="003E35B3" w:rsidP="003E35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5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2 640</w:t>
            </w:r>
          </w:p>
        </w:tc>
      </w:tr>
      <w:tr w:rsidR="003E35B3" w:rsidRPr="003E35B3" w14:paraId="17425291" w14:textId="77777777" w:rsidTr="00644FB9">
        <w:trPr>
          <w:trHeight w:val="315"/>
          <w:jc w:val="center"/>
        </w:trPr>
        <w:tc>
          <w:tcPr>
            <w:tcW w:w="620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5F55AED6" w14:textId="77777777" w:rsidR="003E35B3" w:rsidRPr="003E35B3" w:rsidRDefault="003E35B3" w:rsidP="003E3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5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Transfer do FS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75213D87" w14:textId="77777777" w:rsidR="003E35B3" w:rsidRPr="003E35B3" w:rsidRDefault="003E35B3" w:rsidP="003E35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5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2 640</w:t>
            </w:r>
          </w:p>
        </w:tc>
      </w:tr>
      <w:tr w:rsidR="003E35B3" w:rsidRPr="003E35B3" w14:paraId="20A3E2DF" w14:textId="77777777" w:rsidTr="00644FB9">
        <w:trPr>
          <w:trHeight w:val="272"/>
          <w:jc w:val="center"/>
        </w:trPr>
        <w:tc>
          <w:tcPr>
            <w:tcW w:w="620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000000" w:fill="8EA9DB"/>
            <w:vAlign w:val="center"/>
            <w:hideMark/>
          </w:tcPr>
          <w:p w14:paraId="66663527" w14:textId="77777777" w:rsidR="003E35B3" w:rsidRPr="003E35B3" w:rsidRDefault="003E35B3" w:rsidP="003E35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E35B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Cel: Inwestycje na rzecz wzrostu gospodarczego i zatrudnienienia, w tym fundusze: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000000" w:fill="8EA9DB"/>
            <w:noWrap/>
            <w:vAlign w:val="center"/>
            <w:hideMark/>
          </w:tcPr>
          <w:p w14:paraId="7A120702" w14:textId="77777777" w:rsidR="003E35B3" w:rsidRPr="003E35B3" w:rsidRDefault="003E35B3" w:rsidP="003E35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E35B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63 392</w:t>
            </w:r>
          </w:p>
        </w:tc>
      </w:tr>
      <w:tr w:rsidR="003E35B3" w:rsidRPr="003E35B3" w14:paraId="6B088ABE" w14:textId="77777777" w:rsidTr="00644FB9">
        <w:trPr>
          <w:trHeight w:val="315"/>
          <w:jc w:val="center"/>
        </w:trPr>
        <w:tc>
          <w:tcPr>
            <w:tcW w:w="620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4A434453" w14:textId="77777777" w:rsidR="003E35B3" w:rsidRPr="003E35B3" w:rsidRDefault="003E35B3" w:rsidP="003E3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5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EFRR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11A110A7" w14:textId="77777777" w:rsidR="003E35B3" w:rsidRPr="003E35B3" w:rsidRDefault="003E35B3" w:rsidP="003E35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5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41 974</w:t>
            </w:r>
          </w:p>
        </w:tc>
      </w:tr>
      <w:tr w:rsidR="003E35B3" w:rsidRPr="003E35B3" w14:paraId="4C2C17B0" w14:textId="77777777" w:rsidTr="00644FB9">
        <w:trPr>
          <w:trHeight w:val="315"/>
          <w:jc w:val="center"/>
        </w:trPr>
        <w:tc>
          <w:tcPr>
            <w:tcW w:w="620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41BF7E14" w14:textId="77777777" w:rsidR="003E35B3" w:rsidRPr="003E35B3" w:rsidRDefault="003E35B3" w:rsidP="003E3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5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EFS+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6A54A433" w14:textId="77777777" w:rsidR="003E35B3" w:rsidRPr="003E35B3" w:rsidRDefault="003E35B3" w:rsidP="003E35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5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10 561</w:t>
            </w:r>
          </w:p>
        </w:tc>
      </w:tr>
      <w:tr w:rsidR="003E35B3" w:rsidRPr="003E35B3" w14:paraId="370745D5" w14:textId="77777777" w:rsidTr="00644FB9">
        <w:trPr>
          <w:trHeight w:val="315"/>
          <w:jc w:val="center"/>
        </w:trPr>
        <w:tc>
          <w:tcPr>
            <w:tcW w:w="620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529588A3" w14:textId="77777777" w:rsidR="003E35B3" w:rsidRPr="003E35B3" w:rsidRDefault="003E35B3" w:rsidP="003E3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5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Fundusz Spójności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4DA7BCEA" w14:textId="77777777" w:rsidR="003E35B3" w:rsidRPr="003E35B3" w:rsidRDefault="003E35B3" w:rsidP="003E35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5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10 857</w:t>
            </w:r>
          </w:p>
        </w:tc>
      </w:tr>
    </w:tbl>
    <w:p w14:paraId="7F7FF280" w14:textId="77777777" w:rsidR="003E35B3" w:rsidRDefault="003E35B3" w:rsidP="00644FB9">
      <w:pPr>
        <w:spacing w:after="120"/>
      </w:pPr>
    </w:p>
    <w:p w14:paraId="743E0CD8" w14:textId="77777777" w:rsidR="00BC55ED" w:rsidRPr="00DB5F72" w:rsidRDefault="00BC55ED" w:rsidP="00A15CA2">
      <w:pPr>
        <w:spacing w:before="240"/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</w:pPr>
      <w:r w:rsidRPr="00DB5F72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>Alokacja Fundusz</w:t>
      </w:r>
      <w:r w:rsidR="00673D51" w:rsidRPr="00DB5F72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>u</w:t>
      </w:r>
      <w:r w:rsidRPr="00DB5F72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 xml:space="preserve"> Sprawiedliwej Transformacji </w:t>
      </w:r>
    </w:p>
    <w:p w14:paraId="0B7FA253" w14:textId="4BE33FC9" w:rsidR="003C2D17" w:rsidRDefault="00242BDB" w:rsidP="00644FB9">
      <w:pPr>
        <w:spacing w:after="120"/>
        <w:jc w:val="both"/>
      </w:pPr>
      <w:r>
        <w:t xml:space="preserve">Rada Europejska przyjęła </w:t>
      </w:r>
      <w:r w:rsidR="00BC55ED">
        <w:t xml:space="preserve">podział alokacji dostępnej w ramach </w:t>
      </w:r>
      <w:r w:rsidR="00420660" w:rsidRPr="00035BBF">
        <w:rPr>
          <w:b/>
        </w:rPr>
        <w:t>Funduszu Sprawiedliwej Transformacji</w:t>
      </w:r>
      <w:r w:rsidR="00420660">
        <w:t xml:space="preserve"> (</w:t>
      </w:r>
      <w:r w:rsidR="00FB7BF5">
        <w:t>FST</w:t>
      </w:r>
      <w:r w:rsidR="00420660">
        <w:t>)</w:t>
      </w:r>
      <w:r w:rsidR="00F00E83">
        <w:t>.</w:t>
      </w:r>
      <w:r w:rsidR="00BC55ED">
        <w:t xml:space="preserve"> </w:t>
      </w:r>
      <w:r w:rsidR="00F00E83">
        <w:t xml:space="preserve">Polska otrzyma alokację </w:t>
      </w:r>
      <w:r w:rsidR="00BC55ED">
        <w:t xml:space="preserve">w wysokości </w:t>
      </w:r>
      <w:r>
        <w:t>1,5</w:t>
      </w:r>
      <w:r w:rsidR="00BC55ED">
        <w:t xml:space="preserve"> mld euro</w:t>
      </w:r>
      <w:r w:rsidR="00F00E83">
        <w:t xml:space="preserve"> w ramach WRF i </w:t>
      </w:r>
      <w:r>
        <w:t>2</w:t>
      </w:r>
      <w:r w:rsidR="00F00E83">
        <w:t xml:space="preserve"> mld euro w ramach Europejskiego Instrumentu Odbudowy</w:t>
      </w:r>
      <w:r w:rsidR="00593DA9">
        <w:t xml:space="preserve"> (EIO)</w:t>
      </w:r>
      <w:r w:rsidR="00BC55ED">
        <w:t xml:space="preserve">. </w:t>
      </w:r>
      <w:r w:rsidR="00B22613">
        <w:t xml:space="preserve">Fundusz </w:t>
      </w:r>
      <w:r w:rsidR="00F00E83">
        <w:t xml:space="preserve">w części WRF </w:t>
      </w:r>
      <w:r w:rsidR="00B22613" w:rsidRPr="00B22613">
        <w:t>m</w:t>
      </w:r>
      <w:r w:rsidR="003E128A">
        <w:t xml:space="preserve">oże </w:t>
      </w:r>
      <w:r w:rsidR="00B22613" w:rsidRPr="00B22613">
        <w:t>zostać uzupełniony o środki EFRR i</w:t>
      </w:r>
      <w:r w:rsidR="00786147">
        <w:t>/lub</w:t>
      </w:r>
      <w:r w:rsidR="00B22613" w:rsidRPr="00B22613">
        <w:t xml:space="preserve"> E</w:t>
      </w:r>
      <w:r w:rsidR="00FC70B6">
        <w:t>S</w:t>
      </w:r>
      <w:r w:rsidR="00B22613" w:rsidRPr="00B22613">
        <w:t>F+, tra</w:t>
      </w:r>
      <w:r w:rsidR="00B22613">
        <w:t>nsferowane z kopert narodowych w wysokości do 3</w:t>
      </w:r>
      <w:r w:rsidR="00B22613" w:rsidRPr="00B22613">
        <w:t>0</w:t>
      </w:r>
      <w:r w:rsidR="00B22613">
        <w:t>0%</w:t>
      </w:r>
      <w:r w:rsidR="00B22613" w:rsidRPr="00B22613">
        <w:t xml:space="preserve"> puli środków angażowanych z </w:t>
      </w:r>
      <w:r w:rsidR="00FB7BF5">
        <w:t>FST</w:t>
      </w:r>
      <w:r w:rsidR="00B22613" w:rsidRPr="00B22613">
        <w:t xml:space="preserve"> </w:t>
      </w:r>
      <w:r w:rsidR="00786147">
        <w:t xml:space="preserve">(WRF) </w:t>
      </w:r>
      <w:r w:rsidR="00B22613" w:rsidRPr="00B22613">
        <w:t xml:space="preserve">i </w:t>
      </w:r>
      <w:r w:rsidR="00B22613">
        <w:t xml:space="preserve">stanowiącej </w:t>
      </w:r>
      <w:r w:rsidR="00B22613" w:rsidRPr="00B22613">
        <w:t>nie więcej niż 20% łącznej alokacji na EFRR i</w:t>
      </w:r>
      <w:r w:rsidR="00786147">
        <w:t>/lub</w:t>
      </w:r>
      <w:r w:rsidR="00B22613" w:rsidRPr="00B22613">
        <w:t xml:space="preserve"> EF</w:t>
      </w:r>
      <w:r w:rsidR="00FC70B6">
        <w:t>S</w:t>
      </w:r>
      <w:r w:rsidR="00B22613" w:rsidRPr="00B22613">
        <w:t>+ dla danego kraju</w:t>
      </w:r>
      <w:r w:rsidR="003C2D17">
        <w:t xml:space="preserve">. </w:t>
      </w:r>
      <w:r w:rsidR="00D104AA">
        <w:t>Polska przez</w:t>
      </w:r>
      <w:r w:rsidR="000359A8">
        <w:t>naczy dodatkowo 0,5 mld euro z</w:t>
      </w:r>
      <w:r w:rsidR="005D2440">
        <w:t>e</w:t>
      </w:r>
      <w:r w:rsidR="000359A8">
        <w:t xml:space="preserve"> ś</w:t>
      </w:r>
      <w:r w:rsidR="00D104AA">
        <w:t>rodków polityki spójności na działania związane ze sprawiedliwą transformacją</w:t>
      </w:r>
      <w:r w:rsidR="003E128A">
        <w:t xml:space="preserve">. </w:t>
      </w:r>
      <w:r w:rsidR="000359A8">
        <w:t>Środki te b</w:t>
      </w:r>
      <w:r w:rsidR="00D104AA">
        <w:t>ędą pochodziły w równej części z alokacji EFRR i EFS+.</w:t>
      </w:r>
    </w:p>
    <w:tbl>
      <w:tblPr>
        <w:tblW w:w="6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6"/>
        <w:gridCol w:w="940"/>
      </w:tblGrid>
      <w:tr w:rsidR="00ED539A" w:rsidRPr="00ED539A" w14:paraId="24D870C2" w14:textId="77777777" w:rsidTr="0068292E">
        <w:trPr>
          <w:trHeight w:val="300"/>
          <w:jc w:val="center"/>
        </w:trPr>
        <w:tc>
          <w:tcPr>
            <w:tcW w:w="598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4EA5F1FF" w14:textId="486AFBF4" w:rsidR="00ED539A" w:rsidRPr="00ED539A" w:rsidRDefault="00ED539A" w:rsidP="00ED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Fundusz S</w:t>
            </w:r>
            <w:r w:rsidR="005D244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prawiedliwej Transformacji - FST</w:t>
            </w:r>
          </w:p>
        </w:tc>
        <w:tc>
          <w:tcPr>
            <w:tcW w:w="94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4F41A80A" w14:textId="77777777" w:rsidR="00ED539A" w:rsidRPr="00ED539A" w:rsidRDefault="00ED539A" w:rsidP="00ED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mln euro</w:t>
            </w:r>
          </w:p>
        </w:tc>
      </w:tr>
      <w:tr w:rsidR="00ED539A" w:rsidRPr="00ED539A" w14:paraId="3E189454" w14:textId="77777777" w:rsidTr="0068292E">
        <w:trPr>
          <w:trHeight w:val="315"/>
          <w:jc w:val="center"/>
        </w:trPr>
        <w:tc>
          <w:tcPr>
            <w:tcW w:w="5986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1E6A9640" w14:textId="77777777" w:rsidR="00ED539A" w:rsidRPr="00ED539A" w:rsidRDefault="00ED539A" w:rsidP="00ED5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FST (WRF)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7A12CB92" w14:textId="77777777" w:rsidR="00ED539A" w:rsidRPr="00ED539A" w:rsidRDefault="00ED539A" w:rsidP="00ED5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1 500</w:t>
            </w:r>
          </w:p>
        </w:tc>
      </w:tr>
      <w:tr w:rsidR="00ED539A" w:rsidRPr="00ED539A" w14:paraId="388CFC92" w14:textId="77777777" w:rsidTr="0068292E">
        <w:trPr>
          <w:trHeight w:val="315"/>
          <w:jc w:val="center"/>
        </w:trPr>
        <w:tc>
          <w:tcPr>
            <w:tcW w:w="5986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4FFF30C2" w14:textId="77777777" w:rsidR="00ED539A" w:rsidRPr="00ED539A" w:rsidRDefault="00ED539A" w:rsidP="00ED5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FST (EIO)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0BFE5EF1" w14:textId="77777777" w:rsidR="00ED539A" w:rsidRPr="00ED539A" w:rsidRDefault="00ED539A" w:rsidP="00ED5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ED539A" w:rsidRPr="00ED539A" w14:paraId="74BFB5BD" w14:textId="77777777" w:rsidTr="0068292E">
        <w:trPr>
          <w:trHeight w:val="315"/>
          <w:jc w:val="center"/>
        </w:trPr>
        <w:tc>
          <w:tcPr>
            <w:tcW w:w="5986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13C24FA6" w14:textId="77777777" w:rsidR="00ED539A" w:rsidRPr="00ED539A" w:rsidRDefault="00ED539A" w:rsidP="00ED5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Wkład z alokacji PL, w tym: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20764848" w14:textId="77777777" w:rsidR="00ED539A" w:rsidRPr="00ED539A" w:rsidRDefault="00ED539A" w:rsidP="00ED5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</w:t>
            </w:r>
          </w:p>
        </w:tc>
      </w:tr>
      <w:tr w:rsidR="00ED539A" w:rsidRPr="00ED539A" w14:paraId="38F2434E" w14:textId="77777777" w:rsidTr="0068292E">
        <w:trPr>
          <w:trHeight w:val="300"/>
          <w:jc w:val="center"/>
        </w:trPr>
        <w:tc>
          <w:tcPr>
            <w:tcW w:w="5986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79AC0DB7" w14:textId="77777777" w:rsidR="00ED539A" w:rsidRPr="00ED539A" w:rsidRDefault="00ED539A" w:rsidP="00ED5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EFRR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589721A3" w14:textId="77777777" w:rsidR="00ED539A" w:rsidRPr="00ED539A" w:rsidRDefault="00ED539A" w:rsidP="00ED5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250</w:t>
            </w:r>
          </w:p>
        </w:tc>
      </w:tr>
      <w:tr w:rsidR="00ED539A" w:rsidRPr="00ED539A" w14:paraId="56A25DD8" w14:textId="77777777" w:rsidTr="0068292E">
        <w:trPr>
          <w:trHeight w:val="270"/>
          <w:jc w:val="center"/>
        </w:trPr>
        <w:tc>
          <w:tcPr>
            <w:tcW w:w="5986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410CE00D" w14:textId="77777777" w:rsidR="00ED539A" w:rsidRPr="00ED539A" w:rsidRDefault="00ED539A" w:rsidP="00ED5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EFS+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25FC2EF6" w14:textId="77777777" w:rsidR="00ED539A" w:rsidRPr="00ED539A" w:rsidRDefault="00ED539A" w:rsidP="00ED5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250</w:t>
            </w:r>
          </w:p>
        </w:tc>
      </w:tr>
      <w:tr w:rsidR="00ED539A" w:rsidRPr="00ED539A" w14:paraId="473D8C11" w14:textId="77777777" w:rsidTr="0068292E">
        <w:trPr>
          <w:trHeight w:val="270"/>
          <w:jc w:val="center"/>
        </w:trPr>
        <w:tc>
          <w:tcPr>
            <w:tcW w:w="5986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2DF71670" w14:textId="77777777" w:rsidR="00ED539A" w:rsidRPr="00ED539A" w:rsidRDefault="00ED539A" w:rsidP="00ED53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Ogółem FST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7B24A0E6" w14:textId="77777777" w:rsidR="00ED539A" w:rsidRPr="00ED539A" w:rsidRDefault="00ED539A" w:rsidP="00ED5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4 000</w:t>
            </w:r>
          </w:p>
        </w:tc>
      </w:tr>
      <w:tr w:rsidR="00ED539A" w:rsidRPr="00ED539A" w14:paraId="719C4CA5" w14:textId="77777777" w:rsidTr="0068292E">
        <w:trPr>
          <w:trHeight w:val="254"/>
          <w:jc w:val="center"/>
        </w:trPr>
        <w:tc>
          <w:tcPr>
            <w:tcW w:w="5986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000000" w:fill="8EA9DB"/>
            <w:vAlign w:val="center"/>
            <w:hideMark/>
          </w:tcPr>
          <w:p w14:paraId="1F335367" w14:textId="77777777" w:rsidR="00ED539A" w:rsidRPr="00ED539A" w:rsidRDefault="00ED539A" w:rsidP="00ED53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Cel: Inwestycje na rzecz wzrostu gospodarczego i zatrudnienia, w tym fundusze: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000000" w:fill="8EA9DB"/>
            <w:noWrap/>
            <w:vAlign w:val="center"/>
            <w:hideMark/>
          </w:tcPr>
          <w:p w14:paraId="0F134720" w14:textId="77777777" w:rsidR="00ED539A" w:rsidRPr="00ED539A" w:rsidRDefault="00ED539A" w:rsidP="00ED5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62 892</w:t>
            </w:r>
          </w:p>
        </w:tc>
      </w:tr>
      <w:tr w:rsidR="00ED539A" w:rsidRPr="00ED539A" w14:paraId="63AFA500" w14:textId="77777777" w:rsidTr="0068292E">
        <w:trPr>
          <w:trHeight w:val="255"/>
          <w:jc w:val="center"/>
        </w:trPr>
        <w:tc>
          <w:tcPr>
            <w:tcW w:w="5986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143554B9" w14:textId="77777777" w:rsidR="00ED539A" w:rsidRPr="00ED539A" w:rsidRDefault="00ED539A" w:rsidP="00ED5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Fundusze strukturalne, w tym: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5CFFFD92" w14:textId="77777777" w:rsidR="00ED539A" w:rsidRPr="00ED539A" w:rsidRDefault="00ED539A" w:rsidP="00ED5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52 035</w:t>
            </w:r>
          </w:p>
        </w:tc>
      </w:tr>
      <w:tr w:rsidR="00ED539A" w:rsidRPr="00ED539A" w14:paraId="508EEA09" w14:textId="77777777" w:rsidTr="0068292E">
        <w:trPr>
          <w:trHeight w:val="270"/>
          <w:jc w:val="center"/>
        </w:trPr>
        <w:tc>
          <w:tcPr>
            <w:tcW w:w="5986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6459DE78" w14:textId="77777777" w:rsidR="00ED539A" w:rsidRPr="00ED539A" w:rsidRDefault="00ED539A" w:rsidP="00ED5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EFRR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66B889E4" w14:textId="77777777" w:rsidR="00ED539A" w:rsidRPr="00ED539A" w:rsidRDefault="00ED539A" w:rsidP="00ED5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41 724</w:t>
            </w:r>
          </w:p>
        </w:tc>
      </w:tr>
      <w:tr w:rsidR="00ED539A" w:rsidRPr="00ED539A" w14:paraId="433D1B89" w14:textId="77777777" w:rsidTr="0068292E">
        <w:trPr>
          <w:trHeight w:val="270"/>
          <w:jc w:val="center"/>
        </w:trPr>
        <w:tc>
          <w:tcPr>
            <w:tcW w:w="5986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15B53EED" w14:textId="77777777" w:rsidR="00ED539A" w:rsidRPr="00ED539A" w:rsidRDefault="00ED539A" w:rsidP="00ED5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EFS+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653BD3E6" w14:textId="77777777" w:rsidR="00ED539A" w:rsidRPr="00ED539A" w:rsidRDefault="00ED539A" w:rsidP="00ED5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10 311</w:t>
            </w:r>
          </w:p>
        </w:tc>
      </w:tr>
      <w:tr w:rsidR="00ED539A" w:rsidRPr="00ED539A" w14:paraId="4A7AECAC" w14:textId="77777777" w:rsidTr="0068292E">
        <w:trPr>
          <w:trHeight w:val="255"/>
          <w:jc w:val="center"/>
        </w:trPr>
        <w:tc>
          <w:tcPr>
            <w:tcW w:w="5986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1A562FB6" w14:textId="77777777" w:rsidR="00ED539A" w:rsidRPr="00ED539A" w:rsidRDefault="00ED539A" w:rsidP="00ED5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Fundusz Spójności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777123E4" w14:textId="77777777" w:rsidR="00ED539A" w:rsidRPr="00ED539A" w:rsidRDefault="00ED539A" w:rsidP="00ED5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10 857</w:t>
            </w:r>
          </w:p>
        </w:tc>
      </w:tr>
    </w:tbl>
    <w:p w14:paraId="1B57F21D" w14:textId="77777777" w:rsidR="00ED539A" w:rsidRDefault="00ED539A" w:rsidP="00644FB9">
      <w:pPr>
        <w:spacing w:after="120"/>
        <w:jc w:val="both"/>
      </w:pPr>
    </w:p>
    <w:p w14:paraId="3B299C51" w14:textId="77777777" w:rsidR="00BC55ED" w:rsidRPr="00DB5F72" w:rsidRDefault="000878D5" w:rsidP="00A15CA2">
      <w:pPr>
        <w:spacing w:before="240"/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</w:pPr>
      <w:r w:rsidRPr="00DB5F72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>Koncentracja tematyczna</w:t>
      </w:r>
    </w:p>
    <w:p w14:paraId="465EAE0F" w14:textId="4DC251D9" w:rsidR="005D2440" w:rsidRDefault="004274EA" w:rsidP="004274EA">
      <w:pPr>
        <w:jc w:val="both"/>
      </w:pPr>
      <w:r w:rsidRPr="00F30C77">
        <w:rPr>
          <w:b/>
        </w:rPr>
        <w:t>W obecnej perspektywie (2014-2020)</w:t>
      </w:r>
      <w:r>
        <w:t xml:space="preserve"> </w:t>
      </w:r>
      <w:r w:rsidRPr="004274EA">
        <w:t xml:space="preserve">fundusze europejskie </w:t>
      </w:r>
      <w:r>
        <w:t>są przeznaczane</w:t>
      </w:r>
      <w:r w:rsidRPr="004274EA">
        <w:t xml:space="preserve"> na wszystkie cele tematyczne określone w rozporządzeniu ramowym</w:t>
      </w:r>
      <w:r>
        <w:t>. N</w:t>
      </w:r>
      <w:r w:rsidRPr="004274EA">
        <w:t xml:space="preserve">a cele związane z podnoszeniem innowacyjności gospodarki oraz konkurencyjnością przedsiębiorstw (CT1, CT2 i CT3) </w:t>
      </w:r>
      <w:r>
        <w:t>istnieje koncentracja tematyczna w ramach EFRR. Z kolei</w:t>
      </w:r>
      <w:r w:rsidRPr="004274EA">
        <w:t xml:space="preserve"> na cele związane z gospodarką niskoemisyjną (CT4)</w:t>
      </w:r>
      <w:r>
        <w:t xml:space="preserve"> z EFRR i FS</w:t>
      </w:r>
      <w:r w:rsidRPr="004274EA">
        <w:t xml:space="preserve">. Na </w:t>
      </w:r>
      <w:r>
        <w:t>p</w:t>
      </w:r>
      <w:r w:rsidRPr="004274EA">
        <w:t>romowanie wł</w:t>
      </w:r>
      <w:r>
        <w:t>ączenia społecznego, walkę z ubóstwem i wszelką dyskryminacją (CT 9) istnieje koncentracja w ramach EF</w:t>
      </w:r>
      <w:r w:rsidR="00EC62CF">
        <w:t>S</w:t>
      </w:r>
      <w:r w:rsidR="0003132B">
        <w:t>+</w:t>
      </w:r>
      <w:r>
        <w:t>. Szczegóły przedstawia poniższa tabela.</w:t>
      </w:r>
    </w:p>
    <w:p w14:paraId="32CAE320" w14:textId="77777777" w:rsidR="005D2440" w:rsidRDefault="005D2440">
      <w:r>
        <w:br w:type="page"/>
      </w:r>
    </w:p>
    <w:tbl>
      <w:tblPr>
        <w:tblStyle w:val="redniecieniowanie1akcent5"/>
        <w:tblW w:w="4114" w:type="pct"/>
        <w:tblInd w:w="557" w:type="dxa"/>
        <w:tblLayout w:type="fixed"/>
        <w:tblLook w:val="04A0" w:firstRow="1" w:lastRow="0" w:firstColumn="1" w:lastColumn="0" w:noHBand="0" w:noVBand="1"/>
      </w:tblPr>
      <w:tblGrid>
        <w:gridCol w:w="4526"/>
        <w:gridCol w:w="1843"/>
        <w:gridCol w:w="1273"/>
      </w:tblGrid>
      <w:tr w:rsidR="00C44D33" w14:paraId="7C6CB2D3" w14:textId="77777777" w:rsidTr="005D24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pct"/>
            <w:tcBorders>
              <w:right w:val="single" w:sz="4" w:space="0" w:color="BDD6EE" w:themeColor="accent1" w:themeTint="66"/>
            </w:tcBorders>
            <w:noWrap/>
            <w:vAlign w:val="center"/>
            <w:hideMark/>
          </w:tcPr>
          <w:p w14:paraId="39485F19" w14:textId="77777777" w:rsidR="00C44D33" w:rsidRPr="00C44D33" w:rsidRDefault="00C44D33" w:rsidP="00C44D33">
            <w:pPr>
              <w:jc w:val="center"/>
              <w:rPr>
                <w:rFonts w:ascii="Calibri" w:eastAsia="Times New Roman" w:hAnsi="Calibri" w:cs="Calibri"/>
                <w:bCs w:val="0"/>
                <w:color w:val="FFFFFF"/>
                <w:sz w:val="18"/>
                <w:szCs w:val="18"/>
                <w:lang w:eastAsia="pl-PL"/>
              </w:rPr>
            </w:pPr>
            <w:r w:rsidRPr="00C44D33">
              <w:rPr>
                <w:rFonts w:ascii="Calibri" w:eastAsia="Times New Roman" w:hAnsi="Calibri" w:cs="Calibri"/>
                <w:bCs w:val="0"/>
                <w:color w:val="FFFFFF"/>
                <w:sz w:val="18"/>
                <w:szCs w:val="18"/>
                <w:lang w:eastAsia="pl-PL"/>
              </w:rPr>
              <w:lastRenderedPageBreak/>
              <w:t>CT 1,2,3,4 (EFRR)</w:t>
            </w:r>
          </w:p>
        </w:tc>
        <w:tc>
          <w:tcPr>
            <w:tcW w:w="1206" w:type="pct"/>
            <w:tcBorders>
              <w:left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8752045" w14:textId="5E4819C9" w:rsidR="00C44D33" w:rsidRPr="00C44D33" w:rsidRDefault="00C44D33" w:rsidP="00653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FFFFFF"/>
                <w:sz w:val="18"/>
                <w:szCs w:val="18"/>
                <w:lang w:eastAsia="pl-PL"/>
              </w:rPr>
            </w:pPr>
            <w:r w:rsidRPr="00C44D33">
              <w:rPr>
                <w:rFonts w:ascii="Calibri" w:eastAsia="Times New Roman" w:hAnsi="Calibri" w:cs="Calibri"/>
                <w:bCs w:val="0"/>
                <w:color w:val="FFFFFF"/>
                <w:sz w:val="18"/>
                <w:szCs w:val="18"/>
                <w:lang w:eastAsia="pl-PL"/>
              </w:rPr>
              <w:t xml:space="preserve">Poziom koncentracji </w:t>
            </w:r>
          </w:p>
        </w:tc>
        <w:tc>
          <w:tcPr>
            <w:tcW w:w="834" w:type="pct"/>
            <w:tcBorders>
              <w:left w:val="single" w:sz="4" w:space="0" w:color="BDD6EE" w:themeColor="accent1" w:themeTint="66"/>
            </w:tcBorders>
            <w:vAlign w:val="center"/>
          </w:tcPr>
          <w:p w14:paraId="3063B6E8" w14:textId="77777777" w:rsidR="00C44D33" w:rsidRPr="00C44D33" w:rsidRDefault="00C44D33" w:rsidP="00C44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FFFFFF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 w:val="0"/>
                <w:color w:val="FFFFFF"/>
                <w:sz w:val="18"/>
                <w:szCs w:val="18"/>
                <w:lang w:eastAsia="pl-PL"/>
              </w:rPr>
              <w:t>mln</w:t>
            </w:r>
            <w:r w:rsidRPr="00C44D33">
              <w:rPr>
                <w:rFonts w:ascii="Calibri" w:eastAsia="Times New Roman" w:hAnsi="Calibri" w:cs="Calibri"/>
                <w:bCs w:val="0"/>
                <w:color w:val="FFFFFF"/>
                <w:sz w:val="18"/>
                <w:szCs w:val="18"/>
                <w:lang w:eastAsia="pl-PL"/>
              </w:rPr>
              <w:t xml:space="preserve"> euro</w:t>
            </w:r>
          </w:p>
        </w:tc>
      </w:tr>
      <w:tr w:rsidR="00C44D33" w14:paraId="16D1BEE8" w14:textId="77777777" w:rsidTr="005D2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pct"/>
            <w:tcBorders>
              <w:right w:val="single" w:sz="4" w:space="0" w:color="9CC2E5" w:themeColor="accent1" w:themeTint="99"/>
            </w:tcBorders>
            <w:noWrap/>
            <w:vAlign w:val="center"/>
            <w:hideMark/>
          </w:tcPr>
          <w:p w14:paraId="711552F8" w14:textId="77777777" w:rsidR="00C44D33" w:rsidRPr="00C44D33" w:rsidRDefault="00C44D33" w:rsidP="00C44D33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pl-PL"/>
              </w:rPr>
            </w:pPr>
            <w:r w:rsidRPr="00C44D33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pl-PL"/>
              </w:rPr>
              <w:t>Indykatywny poziom koncentracji na podstawie UP*</w:t>
            </w:r>
          </w:p>
        </w:tc>
        <w:tc>
          <w:tcPr>
            <w:tcW w:w="1206" w:type="pct"/>
            <w:tcBorders>
              <w:left w:val="single" w:sz="4" w:space="0" w:color="9CC2E5" w:themeColor="accent1" w:themeTint="99"/>
            </w:tcBorders>
            <w:noWrap/>
            <w:vAlign w:val="center"/>
            <w:hideMark/>
          </w:tcPr>
          <w:p w14:paraId="5A1CD9EC" w14:textId="77777777" w:rsidR="00C44D33" w:rsidRPr="00703EF4" w:rsidRDefault="00C44D33" w:rsidP="00C44D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3E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58,42%</w:t>
            </w:r>
          </w:p>
        </w:tc>
        <w:tc>
          <w:tcPr>
            <w:tcW w:w="834" w:type="pct"/>
            <w:noWrap/>
            <w:vAlign w:val="center"/>
            <w:hideMark/>
          </w:tcPr>
          <w:p w14:paraId="1FE106E2" w14:textId="77777777" w:rsidR="00C44D33" w:rsidRPr="00703EF4" w:rsidRDefault="00C44D33" w:rsidP="00C44D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23 725</w:t>
            </w:r>
          </w:p>
        </w:tc>
      </w:tr>
      <w:tr w:rsidR="00C44D33" w14:paraId="067EB035" w14:textId="77777777" w:rsidTr="005D24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pct"/>
            <w:tcBorders>
              <w:right w:val="single" w:sz="4" w:space="0" w:color="9CC2E5" w:themeColor="accent1" w:themeTint="99"/>
            </w:tcBorders>
            <w:vAlign w:val="center"/>
            <w:hideMark/>
          </w:tcPr>
          <w:p w14:paraId="0795839B" w14:textId="77777777" w:rsidR="00C44D33" w:rsidRPr="00C44D33" w:rsidRDefault="00C44D33" w:rsidP="00C44D33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pl-PL"/>
              </w:rPr>
            </w:pPr>
            <w:r w:rsidRPr="00C44D33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pl-PL"/>
              </w:rPr>
              <w:t xml:space="preserve">Minimalny poziom koncentracji* </w:t>
            </w:r>
          </w:p>
        </w:tc>
        <w:tc>
          <w:tcPr>
            <w:tcW w:w="1206" w:type="pct"/>
            <w:tcBorders>
              <w:left w:val="single" w:sz="4" w:space="0" w:color="9CC2E5" w:themeColor="accent1" w:themeTint="99"/>
            </w:tcBorders>
            <w:noWrap/>
            <w:vAlign w:val="center"/>
            <w:hideMark/>
          </w:tcPr>
          <w:p w14:paraId="0DE68310" w14:textId="77777777" w:rsidR="00C44D33" w:rsidRPr="00703EF4" w:rsidRDefault="00C44D33" w:rsidP="00C44D3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3E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50,0</w:t>
            </w:r>
            <w:r w:rsidR="00313C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  <w:r w:rsidRPr="00703E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834" w:type="pct"/>
            <w:noWrap/>
            <w:vAlign w:val="center"/>
            <w:hideMark/>
          </w:tcPr>
          <w:p w14:paraId="5F3EC7AA" w14:textId="77777777" w:rsidR="00C44D33" w:rsidRPr="00703EF4" w:rsidRDefault="00C44D33" w:rsidP="00C44D3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20 250</w:t>
            </w:r>
          </w:p>
        </w:tc>
      </w:tr>
      <w:tr w:rsidR="00C44D33" w14:paraId="6CC90C65" w14:textId="77777777" w:rsidTr="005D2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pct"/>
            <w:tcBorders>
              <w:left w:val="single" w:sz="4" w:space="0" w:color="9CC2E5" w:themeColor="accent1" w:themeTint="99"/>
            </w:tcBorders>
            <w:shd w:val="clear" w:color="auto" w:fill="4472C4" w:themeFill="accent5"/>
            <w:noWrap/>
            <w:hideMark/>
          </w:tcPr>
          <w:p w14:paraId="453AA6DD" w14:textId="77777777" w:rsidR="00C44D33" w:rsidRPr="00C44D33" w:rsidRDefault="00C44D33">
            <w:pPr>
              <w:jc w:val="center"/>
              <w:rPr>
                <w:rFonts w:ascii="Calibri" w:hAnsi="Calibri" w:cs="Calibri"/>
                <w:b w:val="0"/>
                <w:color w:val="000000"/>
                <w:sz w:val="16"/>
                <w:szCs w:val="16"/>
                <w:lang w:eastAsia="pl-PL"/>
              </w:rPr>
            </w:pPr>
            <w:r w:rsidRPr="00C44D33">
              <w:rPr>
                <w:rFonts w:ascii="Calibri" w:eastAsia="Times New Roman" w:hAnsi="Calibri" w:cs="Calibri"/>
                <w:bCs w:val="0"/>
                <w:color w:val="FFFFFF"/>
                <w:sz w:val="18"/>
                <w:szCs w:val="18"/>
                <w:lang w:eastAsia="pl-PL"/>
              </w:rPr>
              <w:t>CT 4 (EFRR, FS)</w:t>
            </w:r>
          </w:p>
        </w:tc>
        <w:tc>
          <w:tcPr>
            <w:tcW w:w="1206" w:type="pct"/>
            <w:tcBorders>
              <w:left w:val="single" w:sz="4" w:space="0" w:color="9CC2E5" w:themeColor="accent1" w:themeTint="99"/>
            </w:tcBorders>
            <w:shd w:val="clear" w:color="auto" w:fill="4472C4" w:themeFill="accent5"/>
            <w:vAlign w:val="center"/>
          </w:tcPr>
          <w:p w14:paraId="76203C4E" w14:textId="77777777" w:rsidR="00C44D33" w:rsidRDefault="00C44D33" w:rsidP="00C44D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4" w:type="pct"/>
            <w:tcBorders>
              <w:left w:val="single" w:sz="4" w:space="0" w:color="9CC2E5" w:themeColor="accent1" w:themeTint="99"/>
            </w:tcBorders>
            <w:shd w:val="clear" w:color="auto" w:fill="4472C4" w:themeFill="accent5"/>
            <w:vAlign w:val="center"/>
          </w:tcPr>
          <w:p w14:paraId="4DB67C3D" w14:textId="77777777" w:rsidR="00C44D33" w:rsidRDefault="00C44D33" w:rsidP="00C44D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44D33" w14:paraId="4426183C" w14:textId="77777777" w:rsidTr="005D24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pct"/>
            <w:tcBorders>
              <w:right w:val="single" w:sz="4" w:space="0" w:color="9CC2E5" w:themeColor="accent1" w:themeTint="99"/>
            </w:tcBorders>
            <w:noWrap/>
            <w:vAlign w:val="center"/>
            <w:hideMark/>
          </w:tcPr>
          <w:p w14:paraId="77ED6F88" w14:textId="77777777" w:rsidR="00C44D33" w:rsidRPr="00C44D33" w:rsidRDefault="00C44D33" w:rsidP="00C44D33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pl-PL"/>
              </w:rPr>
            </w:pPr>
            <w:r w:rsidRPr="00C44D33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pl-PL"/>
              </w:rPr>
              <w:t>Indykatywny poziom koncentracji na podstawie UP*</w:t>
            </w:r>
          </w:p>
        </w:tc>
        <w:tc>
          <w:tcPr>
            <w:tcW w:w="1206" w:type="pct"/>
            <w:tcBorders>
              <w:left w:val="single" w:sz="4" w:space="0" w:color="9CC2E5" w:themeColor="accent1" w:themeTint="99"/>
            </w:tcBorders>
            <w:noWrap/>
            <w:vAlign w:val="center"/>
            <w:hideMark/>
          </w:tcPr>
          <w:p w14:paraId="6ADCA386" w14:textId="77777777" w:rsidR="00C44D33" w:rsidRPr="00703EF4" w:rsidRDefault="00C44D33" w:rsidP="00C44D3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3E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24,55%</w:t>
            </w:r>
          </w:p>
        </w:tc>
        <w:tc>
          <w:tcPr>
            <w:tcW w:w="834" w:type="pct"/>
            <w:noWrap/>
            <w:vAlign w:val="center"/>
            <w:hideMark/>
          </w:tcPr>
          <w:p w14:paraId="2D7A33E8" w14:textId="77777777" w:rsidR="00C44D33" w:rsidRPr="00703EF4" w:rsidRDefault="00C44D33" w:rsidP="00C44D3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3E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9 810</w:t>
            </w:r>
          </w:p>
        </w:tc>
      </w:tr>
      <w:tr w:rsidR="00C44D33" w14:paraId="43B7628A" w14:textId="77777777" w:rsidTr="005D2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pct"/>
            <w:tcBorders>
              <w:right w:val="single" w:sz="4" w:space="0" w:color="9CC2E5" w:themeColor="accent1" w:themeTint="99"/>
            </w:tcBorders>
            <w:vAlign w:val="center"/>
            <w:hideMark/>
          </w:tcPr>
          <w:p w14:paraId="047C7E2E" w14:textId="77777777" w:rsidR="00C44D33" w:rsidRPr="00C44D33" w:rsidRDefault="00C44D33" w:rsidP="00C44D33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pl-PL"/>
              </w:rPr>
            </w:pPr>
            <w:r w:rsidRPr="00C44D33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pl-PL"/>
              </w:rPr>
              <w:t xml:space="preserve">Minimalny poziom koncentracji* </w:t>
            </w:r>
          </w:p>
        </w:tc>
        <w:tc>
          <w:tcPr>
            <w:tcW w:w="1206" w:type="pct"/>
            <w:tcBorders>
              <w:left w:val="single" w:sz="4" w:space="0" w:color="9CC2E5" w:themeColor="accent1" w:themeTint="99"/>
            </w:tcBorders>
            <w:noWrap/>
            <w:vAlign w:val="center"/>
            <w:hideMark/>
          </w:tcPr>
          <w:p w14:paraId="37017005" w14:textId="77777777" w:rsidR="00C44D33" w:rsidRPr="00703EF4" w:rsidRDefault="00C44D33" w:rsidP="00C44D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703EF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15,</w:t>
            </w:r>
            <w:r w:rsidR="00313CA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Pr="00703EF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834" w:type="pct"/>
            <w:noWrap/>
            <w:vAlign w:val="center"/>
            <w:hideMark/>
          </w:tcPr>
          <w:p w14:paraId="4D334A54" w14:textId="77777777" w:rsidR="00C44D33" w:rsidRPr="00703EF4" w:rsidRDefault="00C44D33" w:rsidP="00C44D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703EF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5 995</w:t>
            </w:r>
          </w:p>
        </w:tc>
      </w:tr>
      <w:tr w:rsidR="00C44D33" w14:paraId="43B9BF91" w14:textId="77777777" w:rsidTr="005D24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pct"/>
            <w:tcBorders>
              <w:left w:val="single" w:sz="4" w:space="0" w:color="9CC2E5" w:themeColor="accent1" w:themeTint="99"/>
            </w:tcBorders>
            <w:shd w:val="clear" w:color="auto" w:fill="4472C4" w:themeFill="accent5"/>
            <w:noWrap/>
            <w:hideMark/>
          </w:tcPr>
          <w:p w14:paraId="6D4C22CB" w14:textId="77777777" w:rsidR="00C44D33" w:rsidRPr="00C44D33" w:rsidRDefault="00C44D33">
            <w:pPr>
              <w:jc w:val="center"/>
              <w:rPr>
                <w:rFonts w:ascii="Calibri" w:hAnsi="Calibri" w:cs="Calibri"/>
                <w:b w:val="0"/>
                <w:color w:val="000000"/>
                <w:sz w:val="16"/>
                <w:szCs w:val="16"/>
                <w:lang w:eastAsia="pl-PL"/>
              </w:rPr>
            </w:pPr>
            <w:r w:rsidRPr="00C44D33">
              <w:rPr>
                <w:rFonts w:ascii="Calibri" w:eastAsia="Times New Roman" w:hAnsi="Calibri" w:cs="Calibri"/>
                <w:bCs w:val="0"/>
                <w:color w:val="FFFFFF"/>
                <w:sz w:val="18"/>
                <w:szCs w:val="18"/>
                <w:lang w:eastAsia="pl-PL"/>
              </w:rPr>
              <w:t>CT 9 (EFS)</w:t>
            </w:r>
          </w:p>
        </w:tc>
        <w:tc>
          <w:tcPr>
            <w:tcW w:w="1206" w:type="pct"/>
            <w:tcBorders>
              <w:left w:val="single" w:sz="4" w:space="0" w:color="9CC2E5" w:themeColor="accent1" w:themeTint="99"/>
            </w:tcBorders>
            <w:shd w:val="clear" w:color="auto" w:fill="4472C4" w:themeFill="accent5"/>
            <w:vAlign w:val="center"/>
          </w:tcPr>
          <w:p w14:paraId="1CDFBDB5" w14:textId="77777777" w:rsidR="00C44D33" w:rsidRPr="00703EF4" w:rsidRDefault="00C44D33" w:rsidP="00C44D3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4" w:type="pct"/>
            <w:tcBorders>
              <w:left w:val="single" w:sz="4" w:space="0" w:color="9CC2E5" w:themeColor="accent1" w:themeTint="99"/>
            </w:tcBorders>
            <w:shd w:val="clear" w:color="auto" w:fill="4472C4" w:themeFill="accent5"/>
            <w:vAlign w:val="center"/>
          </w:tcPr>
          <w:p w14:paraId="4E7D9B40" w14:textId="77777777" w:rsidR="00C44D33" w:rsidRPr="00703EF4" w:rsidRDefault="00C44D33" w:rsidP="00C44D3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44D33" w14:paraId="2F3D7EE5" w14:textId="77777777" w:rsidTr="005D2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pct"/>
            <w:tcBorders>
              <w:right w:val="single" w:sz="4" w:space="0" w:color="9CC2E5" w:themeColor="accent1" w:themeTint="99"/>
            </w:tcBorders>
            <w:noWrap/>
            <w:vAlign w:val="center"/>
            <w:hideMark/>
          </w:tcPr>
          <w:p w14:paraId="47F6E4EF" w14:textId="77777777" w:rsidR="00C44D33" w:rsidRPr="00C44D33" w:rsidRDefault="00C44D33" w:rsidP="00C44D33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pl-PL"/>
              </w:rPr>
            </w:pPr>
            <w:r w:rsidRPr="00C44D33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pl-PL"/>
              </w:rPr>
              <w:t>Indykatywny poziom koncentracji na podstawie UP*</w:t>
            </w:r>
          </w:p>
        </w:tc>
        <w:tc>
          <w:tcPr>
            <w:tcW w:w="1206" w:type="pct"/>
            <w:tcBorders>
              <w:left w:val="single" w:sz="4" w:space="0" w:color="9CC2E5" w:themeColor="accent1" w:themeTint="99"/>
            </w:tcBorders>
            <w:noWrap/>
            <w:vAlign w:val="center"/>
            <w:hideMark/>
          </w:tcPr>
          <w:p w14:paraId="65B974B2" w14:textId="77777777" w:rsidR="00C44D33" w:rsidRPr="00703EF4" w:rsidRDefault="00C44D33" w:rsidP="00C44D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3E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22,3</w:t>
            </w:r>
            <w:r w:rsidR="00313C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  <w:r w:rsidRPr="00703E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834" w:type="pct"/>
            <w:noWrap/>
            <w:vAlign w:val="center"/>
            <w:hideMark/>
          </w:tcPr>
          <w:p w14:paraId="16BEC2A2" w14:textId="77777777" w:rsidR="00C44D33" w:rsidRPr="00703EF4" w:rsidRDefault="00C44D33" w:rsidP="00C44D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3E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2 732</w:t>
            </w:r>
          </w:p>
        </w:tc>
      </w:tr>
      <w:tr w:rsidR="00C44D33" w14:paraId="2664B262" w14:textId="77777777" w:rsidTr="005D24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pct"/>
            <w:tcBorders>
              <w:right w:val="single" w:sz="4" w:space="0" w:color="9CC2E5" w:themeColor="accent1" w:themeTint="99"/>
            </w:tcBorders>
            <w:vAlign w:val="center"/>
            <w:hideMark/>
          </w:tcPr>
          <w:p w14:paraId="6539D9F3" w14:textId="77777777" w:rsidR="00C44D33" w:rsidRPr="00C44D33" w:rsidRDefault="00C44D33" w:rsidP="00C44D33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pl-PL"/>
              </w:rPr>
            </w:pPr>
            <w:r w:rsidRPr="00C44D33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pl-PL"/>
              </w:rPr>
              <w:t xml:space="preserve">Minimalny poziom koncentracji* </w:t>
            </w:r>
          </w:p>
        </w:tc>
        <w:tc>
          <w:tcPr>
            <w:tcW w:w="1206" w:type="pct"/>
            <w:tcBorders>
              <w:left w:val="single" w:sz="4" w:space="0" w:color="9CC2E5" w:themeColor="accent1" w:themeTint="99"/>
            </w:tcBorders>
            <w:noWrap/>
            <w:vAlign w:val="center"/>
            <w:hideMark/>
          </w:tcPr>
          <w:p w14:paraId="776B3968" w14:textId="77777777" w:rsidR="00C44D33" w:rsidRPr="00703EF4" w:rsidRDefault="00C44D33" w:rsidP="00C44D3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703EF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20,0</w:t>
            </w:r>
            <w:r w:rsidR="00313CA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Pr="00703EF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834" w:type="pct"/>
            <w:noWrap/>
            <w:vAlign w:val="center"/>
            <w:hideMark/>
          </w:tcPr>
          <w:p w14:paraId="67864DD4" w14:textId="77777777" w:rsidR="00C44D33" w:rsidRPr="00703EF4" w:rsidRDefault="00C44D33" w:rsidP="00C44D3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703EF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2 447</w:t>
            </w:r>
          </w:p>
        </w:tc>
      </w:tr>
    </w:tbl>
    <w:p w14:paraId="001C1074" w14:textId="77777777" w:rsidR="004274EA" w:rsidRDefault="00703EF4" w:rsidP="00C44D33">
      <w:pPr>
        <w:spacing w:after="0"/>
        <w:jc w:val="right"/>
        <w:rPr>
          <w:i/>
          <w:sz w:val="16"/>
        </w:rPr>
      </w:pPr>
      <w:r w:rsidRPr="00C44D33">
        <w:rPr>
          <w:i/>
          <w:sz w:val="16"/>
        </w:rPr>
        <w:t xml:space="preserve">* </w:t>
      </w:r>
      <w:r w:rsidR="00C44D33" w:rsidRPr="00C44D33">
        <w:rPr>
          <w:i/>
          <w:sz w:val="16"/>
        </w:rPr>
        <w:t>Minimalne poziomy koncentracji tematycznej pochodzą z Umowy Partnerstwa 2014-2020</w:t>
      </w:r>
    </w:p>
    <w:p w14:paraId="4FAFE41E" w14:textId="77777777" w:rsidR="00862741" w:rsidRPr="00C44D33" w:rsidRDefault="00862741" w:rsidP="00C44D33">
      <w:pPr>
        <w:spacing w:after="0"/>
        <w:jc w:val="right"/>
        <w:rPr>
          <w:i/>
          <w:sz w:val="16"/>
        </w:rPr>
      </w:pPr>
    </w:p>
    <w:p w14:paraId="0CD74481" w14:textId="0F732654" w:rsidR="00BC55ED" w:rsidRPr="00DA1A01" w:rsidRDefault="00C44D33" w:rsidP="00BC55ED">
      <w:pPr>
        <w:jc w:val="both"/>
      </w:pPr>
      <w:r w:rsidRPr="00F30C77">
        <w:rPr>
          <w:b/>
        </w:rPr>
        <w:t>W nadchodzącej perspektywie (2021-2027)</w:t>
      </w:r>
      <w:r>
        <w:t>, z</w:t>
      </w:r>
      <w:r w:rsidR="008A07D6">
        <w:t xml:space="preserve">godnie </w:t>
      </w:r>
      <w:r w:rsidR="0094576E">
        <w:t>z przyjętymi K</w:t>
      </w:r>
      <w:r w:rsidR="002E70A7">
        <w:t>onkluzjami</w:t>
      </w:r>
      <w:r w:rsidR="0094576E">
        <w:t xml:space="preserve"> RE</w:t>
      </w:r>
      <w:r w:rsidR="008A07D6">
        <w:t xml:space="preserve">, </w:t>
      </w:r>
      <w:r w:rsidR="00BC55ED">
        <w:t xml:space="preserve">Polska będzie zobowiązana przeznaczyć </w:t>
      </w:r>
      <w:r w:rsidR="00BC55ED" w:rsidRPr="00DA1A01">
        <w:t xml:space="preserve">co najmniej </w:t>
      </w:r>
      <w:r w:rsidR="008A07D6">
        <w:t>2</w:t>
      </w:r>
      <w:r w:rsidR="00BC55ED" w:rsidRPr="00DA1A01">
        <w:t xml:space="preserve">5% swoich całkowitych środków EFRR na cel polityki 1. </w:t>
      </w:r>
      <w:r w:rsidR="008A07D6" w:rsidRPr="008A07D6">
        <w:rPr>
          <w:i/>
          <w:noProof/>
        </w:rPr>
        <w:t>Bardziej inteligentna Europa dzięki wspieraniu innowacyjnej i inteligentnej transformacji gospodarczej</w:t>
      </w:r>
      <w:r w:rsidR="008A07D6" w:rsidRPr="00DA1A01">
        <w:t xml:space="preserve"> </w:t>
      </w:r>
      <w:r w:rsidR="00BC55ED" w:rsidRPr="00DA1A01">
        <w:t xml:space="preserve">oraz co najmniej 30% na cel polityki 2. </w:t>
      </w:r>
      <w:r w:rsidR="008A07D6" w:rsidRPr="008A07D6">
        <w:rPr>
          <w:i/>
          <w:noProof/>
        </w:rPr>
        <w:t>Bardziej przyjazna dla środowiska niskoemisyjna Europa</w:t>
      </w:r>
      <w:r w:rsidR="002E70A7" w:rsidRPr="002E70A7">
        <w:rPr>
          <w:rStyle w:val="Odwoanieprzypisudolnego"/>
        </w:rPr>
        <w:footnoteReference w:id="2"/>
      </w:r>
      <w:r w:rsidR="008A07D6">
        <w:rPr>
          <w:noProof/>
        </w:rPr>
        <w:t>.</w:t>
      </w:r>
      <w:r w:rsidR="008A278F">
        <w:rPr>
          <w:noProof/>
        </w:rPr>
        <w:t xml:space="preserve"> </w:t>
      </w:r>
      <w:r w:rsidR="008A278F">
        <w:t>N</w:t>
      </w:r>
      <w:r w:rsidR="00BC55ED" w:rsidRPr="00DA1A01">
        <w:t xml:space="preserve">a </w:t>
      </w:r>
      <w:r w:rsidR="00527CFF">
        <w:t xml:space="preserve">realizację </w:t>
      </w:r>
      <w:r w:rsidR="00BC55ED" w:rsidRPr="00DA1A01">
        <w:t>cel</w:t>
      </w:r>
      <w:r w:rsidR="00786147">
        <w:t>u</w:t>
      </w:r>
      <w:r w:rsidR="00BC55ED" w:rsidRPr="00DA1A01">
        <w:t xml:space="preserve"> </w:t>
      </w:r>
      <w:r w:rsidR="000C4824">
        <w:t xml:space="preserve">polityki </w:t>
      </w:r>
      <w:r w:rsidR="00BC55ED" w:rsidRPr="00DA1A01">
        <w:t>1. nale</w:t>
      </w:r>
      <w:r w:rsidR="00EA59FC" w:rsidRPr="00DA1A01">
        <w:t xml:space="preserve">ży przeznaczyć </w:t>
      </w:r>
      <w:r w:rsidR="00527CFF">
        <w:t>10,</w:t>
      </w:r>
      <w:r w:rsidR="008A278F">
        <w:t xml:space="preserve">4 </w:t>
      </w:r>
      <w:r w:rsidR="008D46CB">
        <w:t>mld euro</w:t>
      </w:r>
      <w:r w:rsidR="00681952">
        <w:t xml:space="preserve">, natomiast na cel </w:t>
      </w:r>
      <w:r w:rsidR="000C4824">
        <w:t xml:space="preserve">polityki </w:t>
      </w:r>
      <w:r w:rsidR="00681952">
        <w:t>2</w:t>
      </w:r>
      <w:r w:rsidR="008D46CB">
        <w:t>.</w:t>
      </w:r>
      <w:r w:rsidR="00681952">
        <w:t xml:space="preserve"> </w:t>
      </w:r>
      <w:r w:rsidR="00527CFF">
        <w:t>12,</w:t>
      </w:r>
      <w:r w:rsidR="008A278F">
        <w:t xml:space="preserve">5 </w:t>
      </w:r>
      <w:r w:rsidR="00BC55ED" w:rsidRPr="00DA1A01">
        <w:t xml:space="preserve">mld euro. </w:t>
      </w:r>
    </w:p>
    <w:p w14:paraId="396BCACD" w14:textId="412A7E0F" w:rsidR="00044213" w:rsidRDefault="00BC55ED" w:rsidP="002E70A7">
      <w:pPr>
        <w:jc w:val="both"/>
      </w:pPr>
      <w:r w:rsidRPr="00DA1A01">
        <w:t xml:space="preserve">Wysokość obowiązkowej koncentracji tematycznej w ramach EFS+ </w:t>
      </w:r>
      <w:r w:rsidR="00681952">
        <w:t xml:space="preserve">wynosi </w:t>
      </w:r>
      <w:r w:rsidR="008A278F">
        <w:t xml:space="preserve">prawie </w:t>
      </w:r>
      <w:r w:rsidR="00527CFF">
        <w:t>2</w:t>
      </w:r>
      <w:r w:rsidR="00681952">
        <w:t>,</w:t>
      </w:r>
      <w:r w:rsidR="00F57075">
        <w:t>6</w:t>
      </w:r>
      <w:r w:rsidR="00681952">
        <w:t xml:space="preserve"> mld euro n</w:t>
      </w:r>
      <w:r w:rsidR="005D2440">
        <w:t>a działania</w:t>
      </w:r>
      <w:r w:rsidRPr="00DA1A01">
        <w:t xml:space="preserve"> związane z włączeniem społecznym</w:t>
      </w:r>
      <w:r w:rsidR="00633068" w:rsidRPr="00DA1A01">
        <w:t xml:space="preserve"> (w tej kwocie 2% zasobów EFS+ ma zostać przeznaczone na działania związane z deprywacją materialną)</w:t>
      </w:r>
      <w:r w:rsidRPr="00DA1A01">
        <w:t>.</w:t>
      </w:r>
      <w:r w:rsidR="00EE6763" w:rsidRPr="00DA1A01">
        <w:t xml:space="preserve"> Polska nie jest zobowiązana do koncentracji środków na wsparcie zdolności do zatrudnienia ludzi</w:t>
      </w:r>
      <w:r w:rsidR="0094576E" w:rsidRPr="0094576E">
        <w:t xml:space="preserve"> </w:t>
      </w:r>
      <w:r w:rsidR="0094576E" w:rsidRPr="00DA1A01">
        <w:t>młodych</w:t>
      </w:r>
      <w:r w:rsidR="00EE6763" w:rsidRPr="00DA1A01">
        <w:t>, ponieważ wskaźnik NEET (odsetek ludzi młodych w wieku 15-29 lat niekształcących się, niepracujących ani nieszkolących) nie przekracza średniej</w:t>
      </w:r>
      <w:r w:rsidR="00681952">
        <w:t xml:space="preserve"> unijnej (w 201</w:t>
      </w:r>
      <w:r w:rsidR="00B13A16">
        <w:t>9</w:t>
      </w:r>
      <w:r w:rsidR="00681952">
        <w:t xml:space="preserve"> r. - 12,</w:t>
      </w:r>
      <w:r w:rsidR="00B13A16">
        <w:t xml:space="preserve">5 </w:t>
      </w:r>
      <w:r w:rsidR="00681952">
        <w:t>w UE;</w:t>
      </w:r>
      <w:r w:rsidR="00EE6763" w:rsidRPr="00DA1A01">
        <w:t xml:space="preserve"> 12,</w:t>
      </w:r>
      <w:r w:rsidR="00B13A16">
        <w:t>0</w:t>
      </w:r>
      <w:r w:rsidR="00EE6763" w:rsidRPr="00DA1A01">
        <w:t xml:space="preserve"> w PL).</w:t>
      </w:r>
      <w:r w:rsidR="002E70A7">
        <w:t xml:space="preserve"> </w:t>
      </w:r>
    </w:p>
    <w:tbl>
      <w:tblPr>
        <w:tblW w:w="5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940"/>
      </w:tblGrid>
      <w:tr w:rsidR="00ED539A" w:rsidRPr="00ED539A" w14:paraId="2205F61A" w14:textId="77777777" w:rsidTr="0068292E">
        <w:trPr>
          <w:trHeight w:val="270"/>
          <w:jc w:val="center"/>
        </w:trPr>
        <w:tc>
          <w:tcPr>
            <w:tcW w:w="4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4D884C89" w14:textId="77777777" w:rsidR="00ED539A" w:rsidRPr="00ED539A" w:rsidRDefault="00ED539A" w:rsidP="00ED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Koncentracja tematyczna</w:t>
            </w:r>
          </w:p>
        </w:tc>
        <w:tc>
          <w:tcPr>
            <w:tcW w:w="94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00ED1331" w14:textId="77777777" w:rsidR="00ED539A" w:rsidRPr="00ED539A" w:rsidRDefault="00ED539A" w:rsidP="00ED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mln euro</w:t>
            </w:r>
          </w:p>
        </w:tc>
      </w:tr>
      <w:tr w:rsidR="00ED539A" w:rsidRPr="00ED539A" w14:paraId="5404A570" w14:textId="77777777" w:rsidTr="0068292E">
        <w:trPr>
          <w:trHeight w:val="270"/>
          <w:jc w:val="center"/>
        </w:trPr>
        <w:tc>
          <w:tcPr>
            <w:tcW w:w="4700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000000" w:fill="8EA9DB"/>
            <w:noWrap/>
            <w:vAlign w:val="center"/>
            <w:hideMark/>
          </w:tcPr>
          <w:p w14:paraId="59BEF8DE" w14:textId="77777777" w:rsidR="00ED539A" w:rsidRPr="00ED539A" w:rsidRDefault="00ED539A" w:rsidP="00ED53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Fundusze strukturalne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000000" w:fill="8EA9DB"/>
            <w:noWrap/>
            <w:vAlign w:val="center"/>
            <w:hideMark/>
          </w:tcPr>
          <w:p w14:paraId="0E5E558C" w14:textId="77777777" w:rsidR="00ED539A" w:rsidRPr="00ED539A" w:rsidRDefault="00ED539A" w:rsidP="00ED5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52 035</w:t>
            </w:r>
          </w:p>
        </w:tc>
      </w:tr>
      <w:tr w:rsidR="00ED539A" w:rsidRPr="00ED539A" w14:paraId="0311A41A" w14:textId="77777777" w:rsidTr="0068292E">
        <w:trPr>
          <w:trHeight w:val="270"/>
          <w:jc w:val="center"/>
        </w:trPr>
        <w:tc>
          <w:tcPr>
            <w:tcW w:w="4700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000000" w:fill="D9E1F2"/>
            <w:vAlign w:val="center"/>
            <w:hideMark/>
          </w:tcPr>
          <w:p w14:paraId="514BA1C3" w14:textId="77777777" w:rsidR="00ED539A" w:rsidRPr="00ED539A" w:rsidRDefault="00ED539A" w:rsidP="00ED5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EFRR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000000" w:fill="D9E1F2"/>
            <w:noWrap/>
            <w:vAlign w:val="center"/>
            <w:hideMark/>
          </w:tcPr>
          <w:p w14:paraId="5D899B24" w14:textId="77777777" w:rsidR="00ED539A" w:rsidRPr="00ED539A" w:rsidRDefault="00ED539A" w:rsidP="00ED5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41 724</w:t>
            </w:r>
          </w:p>
        </w:tc>
      </w:tr>
      <w:tr w:rsidR="00ED539A" w:rsidRPr="00ED539A" w14:paraId="69526C36" w14:textId="77777777" w:rsidTr="0068292E">
        <w:trPr>
          <w:trHeight w:val="270"/>
          <w:jc w:val="center"/>
        </w:trPr>
        <w:tc>
          <w:tcPr>
            <w:tcW w:w="4700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56D11BC3" w14:textId="77777777" w:rsidR="00ED539A" w:rsidRPr="00ED539A" w:rsidRDefault="00ED539A" w:rsidP="00ED5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Min. koncentracja tematyczna cel 1. (25%)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2F22E907" w14:textId="77777777" w:rsidR="00ED539A" w:rsidRPr="00ED539A" w:rsidRDefault="00ED539A" w:rsidP="00ED5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10 431</w:t>
            </w:r>
          </w:p>
        </w:tc>
      </w:tr>
      <w:tr w:rsidR="00ED539A" w:rsidRPr="00ED539A" w14:paraId="7F723029" w14:textId="77777777" w:rsidTr="0068292E">
        <w:trPr>
          <w:trHeight w:val="270"/>
          <w:jc w:val="center"/>
        </w:trPr>
        <w:tc>
          <w:tcPr>
            <w:tcW w:w="4700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1A0E3613" w14:textId="77777777" w:rsidR="00ED539A" w:rsidRPr="00ED539A" w:rsidRDefault="00ED539A" w:rsidP="00ED5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Min. koncentracja tematyczna cel 2. (30%)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2E3D444E" w14:textId="77777777" w:rsidR="00ED539A" w:rsidRPr="00ED539A" w:rsidRDefault="00ED539A" w:rsidP="00ED5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12 517</w:t>
            </w:r>
          </w:p>
        </w:tc>
      </w:tr>
      <w:tr w:rsidR="00ED539A" w:rsidRPr="00ED539A" w14:paraId="0656E470" w14:textId="77777777" w:rsidTr="0068292E">
        <w:trPr>
          <w:trHeight w:val="270"/>
          <w:jc w:val="center"/>
        </w:trPr>
        <w:tc>
          <w:tcPr>
            <w:tcW w:w="4700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5AAE8E34" w14:textId="77777777" w:rsidR="00ED539A" w:rsidRPr="00ED539A" w:rsidRDefault="00ED539A" w:rsidP="00ED53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EFRR wolna kwota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75923DB9" w14:textId="77777777" w:rsidR="00ED539A" w:rsidRPr="00ED539A" w:rsidRDefault="00ED539A" w:rsidP="00ED5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18 776</w:t>
            </w:r>
          </w:p>
        </w:tc>
      </w:tr>
      <w:tr w:rsidR="00ED539A" w:rsidRPr="00ED539A" w14:paraId="14E5F8E9" w14:textId="77777777" w:rsidTr="0068292E">
        <w:trPr>
          <w:trHeight w:val="270"/>
          <w:jc w:val="center"/>
        </w:trPr>
        <w:tc>
          <w:tcPr>
            <w:tcW w:w="4700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000000" w:fill="D9E1F2"/>
            <w:vAlign w:val="center"/>
            <w:hideMark/>
          </w:tcPr>
          <w:p w14:paraId="4E864479" w14:textId="77777777" w:rsidR="00ED539A" w:rsidRPr="00ED539A" w:rsidRDefault="00ED539A" w:rsidP="00ED5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EFS+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000000" w:fill="D9E1F2"/>
            <w:noWrap/>
            <w:vAlign w:val="center"/>
            <w:hideMark/>
          </w:tcPr>
          <w:p w14:paraId="0FFDC11C" w14:textId="77777777" w:rsidR="00ED539A" w:rsidRPr="00ED539A" w:rsidRDefault="00ED539A" w:rsidP="00ED5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10 311</w:t>
            </w:r>
          </w:p>
        </w:tc>
      </w:tr>
      <w:tr w:rsidR="00ED539A" w:rsidRPr="00ED539A" w14:paraId="3ACE3E7C" w14:textId="77777777" w:rsidTr="0068292E">
        <w:trPr>
          <w:trHeight w:val="270"/>
          <w:jc w:val="center"/>
        </w:trPr>
        <w:tc>
          <w:tcPr>
            <w:tcW w:w="4700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558ABCCA" w14:textId="77777777" w:rsidR="00ED539A" w:rsidRPr="00ED539A" w:rsidRDefault="00ED539A" w:rsidP="00ED5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Min. koncentracja tematyczna włączenie społeczne (25%)*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4679696C" w14:textId="77777777" w:rsidR="00ED539A" w:rsidRPr="00ED539A" w:rsidRDefault="00ED539A" w:rsidP="00ED5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2 578</w:t>
            </w:r>
          </w:p>
        </w:tc>
      </w:tr>
      <w:tr w:rsidR="00ED539A" w:rsidRPr="00ED539A" w14:paraId="40249661" w14:textId="77777777" w:rsidTr="0068292E">
        <w:trPr>
          <w:trHeight w:val="270"/>
          <w:jc w:val="center"/>
        </w:trPr>
        <w:tc>
          <w:tcPr>
            <w:tcW w:w="4700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153FE441" w14:textId="77777777" w:rsidR="00ED539A" w:rsidRPr="00ED539A" w:rsidRDefault="00ED539A" w:rsidP="00ED53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EFS+ wolna kwota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center"/>
            <w:hideMark/>
          </w:tcPr>
          <w:p w14:paraId="4F2456D9" w14:textId="77777777" w:rsidR="00ED539A" w:rsidRPr="00ED539A" w:rsidRDefault="00ED539A" w:rsidP="00ED5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7 733</w:t>
            </w:r>
          </w:p>
        </w:tc>
      </w:tr>
      <w:tr w:rsidR="00ED539A" w:rsidRPr="00ED539A" w14:paraId="4E0459ED" w14:textId="77777777" w:rsidTr="0068292E">
        <w:trPr>
          <w:trHeight w:val="270"/>
          <w:jc w:val="center"/>
        </w:trPr>
        <w:tc>
          <w:tcPr>
            <w:tcW w:w="4700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000000" w:fill="8EA9DB"/>
            <w:noWrap/>
            <w:vAlign w:val="center"/>
            <w:hideMark/>
          </w:tcPr>
          <w:p w14:paraId="56A9CF05" w14:textId="77777777" w:rsidR="00ED539A" w:rsidRPr="00ED539A" w:rsidRDefault="00ED539A" w:rsidP="00ED53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Fundusze strukturalne, wolna kwota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000000" w:fill="8EA9DB"/>
            <w:noWrap/>
            <w:vAlign w:val="center"/>
            <w:hideMark/>
          </w:tcPr>
          <w:p w14:paraId="4B77CD1B" w14:textId="77777777" w:rsidR="00ED539A" w:rsidRPr="00ED539A" w:rsidRDefault="00ED539A" w:rsidP="00ED5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D53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26 509</w:t>
            </w:r>
          </w:p>
        </w:tc>
      </w:tr>
    </w:tbl>
    <w:p w14:paraId="287012A6" w14:textId="0FD93F2D" w:rsidR="00681952" w:rsidRPr="00681952" w:rsidRDefault="0043435A" w:rsidP="0043435A">
      <w:pPr>
        <w:ind w:left="14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681952" w:rsidRPr="00681952">
        <w:rPr>
          <w:sz w:val="16"/>
          <w:szCs w:val="16"/>
        </w:rPr>
        <w:t>* w tej kwocie 2% zasobów EFS+ na zwalczanie deprywacji materialnej</w:t>
      </w:r>
    </w:p>
    <w:p w14:paraId="6E883B27" w14:textId="77777777" w:rsidR="00C364A6" w:rsidRPr="00DB5F72" w:rsidRDefault="00C364A6" w:rsidP="00A15CA2">
      <w:pPr>
        <w:spacing w:before="240"/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</w:pPr>
      <w:r w:rsidRPr="00DB5F72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 xml:space="preserve">Przesunięcie </w:t>
      </w:r>
      <w:r w:rsidR="00C00457" w:rsidRPr="00DB5F72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 xml:space="preserve">środków </w:t>
      </w:r>
      <w:r w:rsidR="00AF1BC2" w:rsidRPr="00DB5F72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>po</w:t>
      </w:r>
      <w:r w:rsidRPr="00DB5F72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 xml:space="preserve">między </w:t>
      </w:r>
      <w:r w:rsidR="00C00457" w:rsidRPr="00DB5F72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 xml:space="preserve">kategoriami </w:t>
      </w:r>
      <w:r w:rsidRPr="00DB5F72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>region</w:t>
      </w:r>
      <w:r w:rsidR="00C00457" w:rsidRPr="00DB5F72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>ów</w:t>
      </w:r>
    </w:p>
    <w:p w14:paraId="7B522F04" w14:textId="77777777" w:rsidR="00C00457" w:rsidRPr="00C00457" w:rsidRDefault="00C00457" w:rsidP="00C00457">
      <w:pPr>
        <w:jc w:val="both"/>
        <w:rPr>
          <w:lang w:bidi="pl-PL"/>
        </w:rPr>
      </w:pPr>
      <w:r>
        <w:t>P</w:t>
      </w:r>
      <w:r w:rsidRPr="00C00457">
        <w:t>aństwo członkowskie może dokonać transferu</w:t>
      </w:r>
      <w:r>
        <w:t>:</w:t>
      </w:r>
      <w:r w:rsidRPr="00C00457">
        <w:t xml:space="preserve"> a) </w:t>
      </w:r>
      <w:r w:rsidRPr="00035BBF">
        <w:rPr>
          <w:b/>
          <w:lang w:bidi="pl-PL"/>
        </w:rPr>
        <w:t xml:space="preserve">w wysokości nie więcej niż </w:t>
      </w:r>
      <w:r w:rsidR="0043435A" w:rsidRPr="00035BBF">
        <w:rPr>
          <w:b/>
          <w:lang w:bidi="pl-PL"/>
        </w:rPr>
        <w:t>15</w:t>
      </w:r>
      <w:r w:rsidRPr="00035BBF">
        <w:rPr>
          <w:b/>
          <w:lang w:bidi="pl-PL"/>
        </w:rPr>
        <w:t>% łącznych alokacji</w:t>
      </w:r>
      <w:r w:rsidRPr="00C00457">
        <w:rPr>
          <w:lang w:bidi="pl-PL"/>
        </w:rPr>
        <w:t xml:space="preserve"> dla słabiej rozwiniętych regionów do regionów w okresie przejściowym lub regionów lepiej rozwiniętych oraz z regionów w okresie przejściowym do regionów lepiej rozwiniętych oraz b) z </w:t>
      </w:r>
      <w:r w:rsidRPr="00C00457">
        <w:rPr>
          <w:lang w:bidi="pl-PL"/>
        </w:rPr>
        <w:lastRenderedPageBreak/>
        <w:t>alokacji dla regionów lepiej rozwiniętych lub regionów w okresie przejściowym do regionów słabiej rozwiniętych (bez ograniczeń)</w:t>
      </w:r>
      <w:r w:rsidRPr="00C00457">
        <w:rPr>
          <w:vertAlign w:val="superscript"/>
          <w:lang w:bidi="pl-PL"/>
        </w:rPr>
        <w:footnoteReference w:id="3"/>
      </w:r>
      <w:r w:rsidRPr="00C00457">
        <w:rPr>
          <w:lang w:bidi="pl-PL"/>
        </w:rPr>
        <w:t>.</w:t>
      </w:r>
    </w:p>
    <w:p w14:paraId="1AE2A35E" w14:textId="77777777" w:rsidR="00C00457" w:rsidRPr="00C00457" w:rsidRDefault="00C00457" w:rsidP="00671347">
      <w:pPr>
        <w:spacing w:after="0"/>
        <w:jc w:val="both"/>
      </w:pPr>
      <w:r w:rsidRPr="00C00457">
        <w:t xml:space="preserve">Na obecnym etapie negocjacji KE nie opublikowała szacunków alokacji dla poszczególnych </w:t>
      </w:r>
      <w:r w:rsidR="00FB369A">
        <w:t xml:space="preserve">kategorii </w:t>
      </w:r>
      <w:r w:rsidRPr="00C00457">
        <w:t>regionów, co utrudnia rzetelną analizę potencjalnych transferów środków pomiędzy regionami. Próby odtworzenia metodologii podziału alokacji przeprowadzone przez DSR pokazują następujące przybliżone wartości alokacji dla poszczególnych grup regionów:</w:t>
      </w:r>
    </w:p>
    <w:p w14:paraId="03A20AD2" w14:textId="77777777" w:rsidR="00C00457" w:rsidRPr="00F57075" w:rsidRDefault="00C00457" w:rsidP="00671347">
      <w:pPr>
        <w:pStyle w:val="Akapitzlist"/>
        <w:numPr>
          <w:ilvl w:val="0"/>
          <w:numId w:val="23"/>
        </w:numPr>
      </w:pPr>
      <w:r w:rsidRPr="00F57075">
        <w:t xml:space="preserve">regiony słabiej rozwinięte - ok. </w:t>
      </w:r>
      <w:r w:rsidR="007022A5" w:rsidRPr="00F57075">
        <w:t>51,</w:t>
      </w:r>
      <w:r w:rsidR="00F25BC6" w:rsidRPr="00F57075">
        <w:t>7</w:t>
      </w:r>
      <w:r w:rsidRPr="00F57075">
        <w:t xml:space="preserve"> mld euro,</w:t>
      </w:r>
    </w:p>
    <w:p w14:paraId="7A85BA35" w14:textId="77777777" w:rsidR="00C00457" w:rsidRPr="00F57075" w:rsidRDefault="00C00457" w:rsidP="00671347">
      <w:pPr>
        <w:pStyle w:val="Akapitzlist"/>
        <w:numPr>
          <w:ilvl w:val="0"/>
          <w:numId w:val="23"/>
        </w:numPr>
      </w:pPr>
      <w:r w:rsidRPr="00F57075">
        <w:t>regiony w okresie przejściowym (dolnośląsk</w:t>
      </w:r>
      <w:r w:rsidR="007022A5" w:rsidRPr="00F57075">
        <w:t>ie oraz wielkopolskie) - ok. 4,1</w:t>
      </w:r>
      <w:r w:rsidRPr="00F57075">
        <w:t xml:space="preserve"> mld euro,</w:t>
      </w:r>
    </w:p>
    <w:p w14:paraId="77456BA0" w14:textId="77777777" w:rsidR="00D405A3" w:rsidRPr="00F57075" w:rsidRDefault="00C00457" w:rsidP="00671347">
      <w:pPr>
        <w:pStyle w:val="Akapitzlist"/>
        <w:numPr>
          <w:ilvl w:val="0"/>
          <w:numId w:val="23"/>
        </w:numPr>
      </w:pPr>
      <w:r w:rsidRPr="00F57075">
        <w:t xml:space="preserve">region lepiej rozwinięty (warszawski stołeczny) – ok. </w:t>
      </w:r>
      <w:r w:rsidR="00F25BC6" w:rsidRPr="00F57075">
        <w:t>0,1</w:t>
      </w:r>
      <w:r w:rsidR="007022A5" w:rsidRPr="00F57075">
        <w:t xml:space="preserve"> </w:t>
      </w:r>
      <w:r w:rsidRPr="00F57075">
        <w:t>ml</w:t>
      </w:r>
      <w:r w:rsidR="00FC70B6" w:rsidRPr="00F57075">
        <w:t>d</w:t>
      </w:r>
      <w:r w:rsidRPr="00F57075">
        <w:t xml:space="preserve"> euro.</w:t>
      </w:r>
    </w:p>
    <w:p w14:paraId="3D3EDA60" w14:textId="5137BDDA" w:rsidR="00D405A3" w:rsidRDefault="00671347" w:rsidP="00D405A3">
      <w:pPr>
        <w:jc w:val="both"/>
      </w:pPr>
      <w:r>
        <w:t>Ponieważ</w:t>
      </w:r>
      <w:r w:rsidR="00C00457" w:rsidRPr="00D405A3">
        <w:t xml:space="preserve"> alokacja regionu lepiej rozwiniętego będzie musiała pokryć zapotrzebowanie nie tylko </w:t>
      </w:r>
      <w:r w:rsidR="00FB369A">
        <w:t>m</w:t>
      </w:r>
      <w:r w:rsidR="00C00457" w:rsidRPr="00D405A3">
        <w:t>.</w:t>
      </w:r>
      <w:r w:rsidR="00FB369A">
        <w:t>s</w:t>
      </w:r>
      <w:r w:rsidR="00C00457" w:rsidRPr="00D405A3">
        <w:t xml:space="preserve">t. Warszawy, ale również ościennych gmin z ich potrzebami rozwojowymi, </w:t>
      </w:r>
      <w:r w:rsidR="00E91E6B">
        <w:t>przewiduje</w:t>
      </w:r>
      <w:r w:rsidR="00C00457" w:rsidRPr="00D405A3">
        <w:t xml:space="preserve"> się podwyższenie alokacji dla reg</w:t>
      </w:r>
      <w:r w:rsidR="00FB369A">
        <w:t>i</w:t>
      </w:r>
      <w:r w:rsidR="00C00457" w:rsidRPr="00D405A3">
        <w:t>onu lepiej rozwiniętego</w:t>
      </w:r>
      <w:r w:rsidR="00D405A3">
        <w:t xml:space="preserve"> środkami pochodzącymi z alokacji regionów słabiej rozwiniętych</w:t>
      </w:r>
      <w:r w:rsidR="00FB369A" w:rsidRPr="00035BBF">
        <w:rPr>
          <w:b/>
        </w:rPr>
        <w:t xml:space="preserve"> na poziomie 1</w:t>
      </w:r>
      <w:r w:rsidR="00862741" w:rsidRPr="00035BBF">
        <w:rPr>
          <w:b/>
        </w:rPr>
        <w:t>00 mln</w:t>
      </w:r>
      <w:r w:rsidR="00FB369A" w:rsidRPr="00035BBF">
        <w:rPr>
          <w:b/>
        </w:rPr>
        <w:t xml:space="preserve"> euro</w:t>
      </w:r>
      <w:r w:rsidR="00FB369A" w:rsidRPr="00B13A83">
        <w:t>.</w:t>
      </w:r>
    </w:p>
    <w:p w14:paraId="2F4C7B74" w14:textId="6534454E" w:rsidR="00D405A3" w:rsidRPr="00C364A6" w:rsidRDefault="008A278F" w:rsidP="00D405A3">
      <w:pPr>
        <w:jc w:val="both"/>
      </w:pPr>
      <w:r>
        <w:t>N</w:t>
      </w:r>
      <w:r w:rsidR="001B5A60">
        <w:t>ie planuje się transferu środków do dwóch województw w okresie przejściowym</w:t>
      </w:r>
      <w:r w:rsidR="007D3E43">
        <w:t>, tj. Dolny Śląsk i Wielkopolska</w:t>
      </w:r>
      <w:r w:rsidR="001B5A60">
        <w:t>.</w:t>
      </w:r>
      <w:r w:rsidR="007D3E43">
        <w:t xml:space="preserve"> Regiony te otrzymają dodatkowe wsparcie z</w:t>
      </w:r>
      <w:r w:rsidR="00E91E6B">
        <w:t xml:space="preserve"> środków </w:t>
      </w:r>
      <w:r w:rsidR="00FB7BF5">
        <w:t>FST</w:t>
      </w:r>
      <w:r w:rsidR="007D3E43">
        <w:t>.</w:t>
      </w:r>
      <w:r w:rsidR="00E91E6B">
        <w:t xml:space="preserve"> </w:t>
      </w:r>
    </w:p>
    <w:p w14:paraId="4EDFE6F8" w14:textId="77777777" w:rsidR="00BC55ED" w:rsidRPr="00DB5F72" w:rsidRDefault="00BC55ED" w:rsidP="00A15CA2">
      <w:pPr>
        <w:spacing w:before="240"/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</w:pPr>
      <w:r w:rsidRPr="00DB5F72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 xml:space="preserve">Podział środków na programy </w:t>
      </w:r>
    </w:p>
    <w:p w14:paraId="7EAC9FA4" w14:textId="650BBFC0" w:rsidR="00AF1BC2" w:rsidRDefault="00EE4841" w:rsidP="00EE4841">
      <w:pPr>
        <w:jc w:val="both"/>
      </w:pPr>
      <w:r>
        <w:t xml:space="preserve">W perspektywie finansowej na lata 2021-2027 realizowane będą </w:t>
      </w:r>
      <w:r w:rsidRPr="00035BBF">
        <w:rPr>
          <w:b/>
        </w:rPr>
        <w:t>programy na poziomie krajowym oraz na poziomie regionalnym</w:t>
      </w:r>
      <w:r w:rsidR="000C4824" w:rsidRPr="00035BBF">
        <w:rPr>
          <w:b/>
        </w:rPr>
        <w:t>.</w:t>
      </w:r>
      <w:r>
        <w:t xml:space="preserve"> </w:t>
      </w:r>
    </w:p>
    <w:p w14:paraId="3F7557D4" w14:textId="69061A5F" w:rsidR="00AF1BC2" w:rsidRDefault="00AF1BC2" w:rsidP="00AF1BC2">
      <w:pPr>
        <w:spacing w:after="120"/>
        <w:jc w:val="both"/>
      </w:pPr>
      <w:r>
        <w:t>Łączna s</w:t>
      </w:r>
      <w:r w:rsidR="002B6F20">
        <w:t>uma alokacji środków unijnych</w:t>
      </w:r>
      <w:r>
        <w:t xml:space="preserve"> </w:t>
      </w:r>
      <w:r w:rsidR="002B6F20">
        <w:t xml:space="preserve">przeznaczonych na realizację </w:t>
      </w:r>
      <w:r>
        <w:t>progr</w:t>
      </w:r>
      <w:r w:rsidR="002B6F20">
        <w:t>amów objętych</w:t>
      </w:r>
      <w:r>
        <w:t xml:space="preserve"> Umową Partnerstwa wynosi </w:t>
      </w:r>
      <w:r w:rsidR="0006057F">
        <w:t xml:space="preserve">prawie </w:t>
      </w:r>
      <w:r w:rsidR="008A278F">
        <w:t>67</w:t>
      </w:r>
      <w:r w:rsidR="0031469C">
        <w:t>,</w:t>
      </w:r>
      <w:r w:rsidR="008A278F">
        <w:t xml:space="preserve">4 </w:t>
      </w:r>
      <w:r w:rsidR="002B6F20">
        <w:t>mld euro</w:t>
      </w:r>
      <w:r w:rsidR="00644FB9">
        <w:t xml:space="preserve"> (z wyłączeniem PO RYBY)</w:t>
      </w:r>
      <w:r w:rsidR="002B6F20">
        <w:t xml:space="preserve">. </w:t>
      </w:r>
      <w:r w:rsidR="008A278F">
        <w:t xml:space="preserve">Z tej kwoty </w:t>
      </w:r>
      <w:r w:rsidR="002B6F20">
        <w:t xml:space="preserve"> </w:t>
      </w:r>
      <w:r w:rsidR="008A278F">
        <w:t>63</w:t>
      </w:r>
      <w:r w:rsidR="00F25BC6">
        <w:t>,</w:t>
      </w:r>
      <w:r w:rsidR="008A278F">
        <w:t>4</w:t>
      </w:r>
      <w:r w:rsidR="002B6F20">
        <w:t xml:space="preserve"> mld euro zostanie podzielon</w:t>
      </w:r>
      <w:r w:rsidR="008A278F">
        <w:t>ych</w:t>
      </w:r>
      <w:r w:rsidR="002B6F20">
        <w:t xml:space="preserve"> na programy polityki spójności, pozostałe środki w wysokości </w:t>
      </w:r>
      <w:r w:rsidR="008A278F">
        <w:t>4</w:t>
      </w:r>
      <w:r w:rsidR="002B6F20">
        <w:t xml:space="preserve"> mld euro zostaną przeznaczone na realizację celów sprawiedliwej transformacji.</w:t>
      </w:r>
    </w:p>
    <w:p w14:paraId="13B74698" w14:textId="339C836B" w:rsidR="002B6F20" w:rsidRPr="002B6F20" w:rsidRDefault="002B6F20" w:rsidP="00AF1BC2">
      <w:pPr>
        <w:spacing w:after="120"/>
        <w:jc w:val="both"/>
      </w:pPr>
      <w:r>
        <w:t xml:space="preserve">Z kwoty </w:t>
      </w:r>
      <w:r w:rsidR="008A278F">
        <w:t>63,4</w:t>
      </w:r>
      <w:r w:rsidR="00644FB9">
        <w:t xml:space="preserve"> </w:t>
      </w:r>
      <w:r>
        <w:t xml:space="preserve">mld euro środki w wysokości </w:t>
      </w:r>
      <w:r w:rsidR="008A278F">
        <w:t>62,9</w:t>
      </w:r>
      <w:r w:rsidR="00644FB9">
        <w:t xml:space="preserve"> </w:t>
      </w:r>
      <w:r>
        <w:t>mld euro będą w</w:t>
      </w:r>
      <w:r w:rsidR="00B262BE">
        <w:t>spierały realizację programów w </w:t>
      </w:r>
      <w:r>
        <w:t xml:space="preserve">ramach </w:t>
      </w:r>
      <w:r w:rsidRPr="002B6F20">
        <w:t xml:space="preserve">Celu </w:t>
      </w:r>
      <w:r w:rsidR="00EA110F">
        <w:t xml:space="preserve">1. </w:t>
      </w:r>
      <w:r w:rsidRPr="002B6F20">
        <w:rPr>
          <w:rFonts w:ascii="Calibri" w:eastAsia="Times New Roman" w:hAnsi="Calibri" w:cs="Calibri"/>
          <w:i/>
          <w:color w:val="000000"/>
          <w:lang w:eastAsia="pl-PL"/>
        </w:rPr>
        <w:t>Inwestycje na rzecz wzrostu gospodarczego i zatrudnienia</w:t>
      </w:r>
      <w:r w:rsidR="00B262BE">
        <w:rPr>
          <w:rFonts w:ascii="Calibri" w:eastAsia="Times New Roman" w:hAnsi="Calibri" w:cs="Calibri"/>
          <w:color w:val="000000"/>
          <w:lang w:eastAsia="pl-PL"/>
        </w:rPr>
        <w:t>. Pozostałe środki w </w:t>
      </w:r>
      <w:r w:rsidRPr="002B6F20">
        <w:rPr>
          <w:rFonts w:ascii="Calibri" w:eastAsia="Times New Roman" w:hAnsi="Calibri" w:cs="Calibri"/>
          <w:color w:val="000000"/>
          <w:lang w:eastAsia="pl-PL"/>
        </w:rPr>
        <w:t>wysokości</w:t>
      </w:r>
      <w:r w:rsidR="0006057F">
        <w:rPr>
          <w:rFonts w:ascii="Calibri" w:eastAsia="Times New Roman" w:hAnsi="Calibri" w:cs="Calibri"/>
          <w:color w:val="000000"/>
          <w:lang w:eastAsia="pl-PL"/>
        </w:rPr>
        <w:t xml:space="preserve"> prawie</w:t>
      </w:r>
      <w:r w:rsidRPr="002B6F2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06057F">
        <w:t>0,5</w:t>
      </w:r>
      <w:r w:rsidRPr="002B6F20">
        <w:t xml:space="preserve"> mld euro zostaną przeznaczone </w:t>
      </w:r>
      <w:r>
        <w:t xml:space="preserve">na Cel </w:t>
      </w:r>
      <w:r w:rsidR="00EA110F">
        <w:t xml:space="preserve">2. </w:t>
      </w:r>
      <w:r w:rsidRPr="002B6F20">
        <w:rPr>
          <w:i/>
        </w:rPr>
        <w:t>Europejska Współpraca Terytorialna</w:t>
      </w:r>
      <w:r w:rsidRPr="002B6F20">
        <w:t xml:space="preserve">. </w:t>
      </w:r>
    </w:p>
    <w:p w14:paraId="791C023E" w14:textId="11448700" w:rsidR="00EA110F" w:rsidRDefault="008A278F" w:rsidP="00C44D33">
      <w:pPr>
        <w:jc w:val="both"/>
      </w:pPr>
      <w:r>
        <w:rPr>
          <w:b/>
        </w:rPr>
        <w:t>N</w:t>
      </w:r>
      <w:r w:rsidR="00644FB9">
        <w:rPr>
          <w:b/>
        </w:rPr>
        <w:t>a</w:t>
      </w:r>
      <w:r w:rsidR="002B6F20" w:rsidRPr="00035BBF">
        <w:rPr>
          <w:b/>
        </w:rPr>
        <w:t xml:space="preserve"> realizację </w:t>
      </w:r>
      <w:r w:rsidR="00C71638" w:rsidRPr="00035BBF">
        <w:rPr>
          <w:b/>
        </w:rPr>
        <w:t xml:space="preserve">programów </w:t>
      </w:r>
      <w:r w:rsidR="002B6F20" w:rsidRPr="00035BBF">
        <w:rPr>
          <w:b/>
        </w:rPr>
        <w:t xml:space="preserve">regionalnych </w:t>
      </w:r>
      <w:r w:rsidR="000A535E">
        <w:rPr>
          <w:b/>
        </w:rPr>
        <w:t xml:space="preserve">(PR) </w:t>
      </w:r>
      <w:r w:rsidR="002B6F20" w:rsidRPr="00035BBF">
        <w:rPr>
          <w:b/>
        </w:rPr>
        <w:t xml:space="preserve">zostanie przeznaczonych 40% alokacji </w:t>
      </w:r>
      <w:r w:rsidR="005D55DF" w:rsidRPr="00035BBF">
        <w:rPr>
          <w:b/>
        </w:rPr>
        <w:t>C</w:t>
      </w:r>
      <w:r w:rsidR="00EA110F" w:rsidRPr="00035BBF">
        <w:rPr>
          <w:b/>
        </w:rPr>
        <w:t>elu</w:t>
      </w:r>
      <w:r w:rsidR="002B6F20" w:rsidRPr="00035BBF">
        <w:rPr>
          <w:b/>
        </w:rPr>
        <w:t xml:space="preserve"> </w:t>
      </w:r>
      <w:r w:rsidR="00E207C4" w:rsidRPr="00035BBF">
        <w:rPr>
          <w:b/>
        </w:rPr>
        <w:t>1</w:t>
      </w:r>
      <w:r w:rsidR="00EA110F">
        <w:t xml:space="preserve">. </w:t>
      </w:r>
      <w:r w:rsidR="002B6F20">
        <w:t xml:space="preserve">tj. </w:t>
      </w:r>
      <w:r>
        <w:t>prawie 25,2</w:t>
      </w:r>
      <w:r w:rsidR="00644FB9">
        <w:t xml:space="preserve"> </w:t>
      </w:r>
      <w:r w:rsidR="002B6F20">
        <w:t>mld euro. Tym samym na realizację krajowych programów przeznac</w:t>
      </w:r>
      <w:r w:rsidR="00523F2A">
        <w:t>zona zostanie kwota w wysokości</w:t>
      </w:r>
      <w:r w:rsidR="00EA110F">
        <w:t xml:space="preserve"> </w:t>
      </w:r>
      <w:r>
        <w:t>ponad 37,7</w:t>
      </w:r>
      <w:r w:rsidR="00644FB9">
        <w:t xml:space="preserve"> </w:t>
      </w:r>
      <w:r w:rsidR="002B6F20">
        <w:t>mld euro.</w:t>
      </w:r>
    </w:p>
    <w:p w14:paraId="428EFA3C" w14:textId="21BC1032" w:rsidR="00AF1BC2" w:rsidRDefault="00216FF6" w:rsidP="00AF1BC2">
      <w:pPr>
        <w:jc w:val="both"/>
      </w:pPr>
      <w:r>
        <w:br w:type="column"/>
      </w:r>
      <w:r w:rsidR="00AF1BC2" w:rsidRPr="00AF1BC2">
        <w:lastRenderedPageBreak/>
        <w:t>Dla celów porównawczych zaprezentowano podział alokacji na programy realizowane w obecnej perspektywie finansowej:</w:t>
      </w:r>
    </w:p>
    <w:tbl>
      <w:tblPr>
        <w:tblStyle w:val="Tabela-Siatka2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907"/>
        <w:gridCol w:w="850"/>
        <w:gridCol w:w="850"/>
        <w:gridCol w:w="850"/>
        <w:gridCol w:w="1134"/>
        <w:gridCol w:w="3625"/>
      </w:tblGrid>
      <w:tr w:rsidR="004566D4" w:rsidRPr="00EA110F" w14:paraId="08E38C18" w14:textId="77777777" w:rsidTr="00DB5F72">
        <w:trPr>
          <w:trHeight w:val="284"/>
        </w:trPr>
        <w:tc>
          <w:tcPr>
            <w:tcW w:w="9180" w:type="dxa"/>
            <w:gridSpan w:val="7"/>
            <w:shd w:val="clear" w:color="auto" w:fill="BFBFBF" w:themeFill="background1" w:themeFillShade="BF"/>
          </w:tcPr>
          <w:p w14:paraId="0222B76D" w14:textId="28F03DDE" w:rsidR="004566D4" w:rsidRPr="00EA110F" w:rsidRDefault="004566D4" w:rsidP="00B962F6">
            <w:pPr>
              <w:spacing w:before="60" w:after="60"/>
              <w:jc w:val="center"/>
              <w:rPr>
                <w:color w:val="FFFFFF" w:themeColor="background1"/>
              </w:rPr>
            </w:pPr>
            <w:r w:rsidRPr="00EA110F">
              <w:rPr>
                <w:b/>
                <w:bCs/>
                <w:color w:val="FFFFFF" w:themeColor="background1"/>
              </w:rPr>
              <w:t xml:space="preserve">Programy na lata </w:t>
            </w:r>
            <w:r w:rsidRPr="00EA110F">
              <w:rPr>
                <w:b/>
                <w:bCs/>
                <w:color w:val="FFFFFF" w:themeColor="background1"/>
                <w:lang w:val="en-US"/>
              </w:rPr>
              <w:t>2014-2020</w:t>
            </w:r>
            <w:r w:rsidR="000F7D47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r w:rsidR="000F7D47" w:rsidRPr="000F7D47">
              <w:rPr>
                <w:bCs/>
                <w:color w:val="FFFFFF" w:themeColor="background1"/>
                <w:lang w:val="en-US"/>
              </w:rPr>
              <w:t>(cs</w:t>
            </w:r>
            <w:r w:rsidR="004339AD">
              <w:rPr>
                <w:bCs/>
                <w:color w:val="FFFFFF" w:themeColor="background1"/>
                <w:lang w:val="en-US"/>
              </w:rPr>
              <w:t xml:space="preserve"> </w:t>
            </w:r>
            <w:r w:rsidR="000F7D47" w:rsidRPr="000F7D47">
              <w:rPr>
                <w:bCs/>
                <w:color w:val="FFFFFF" w:themeColor="background1"/>
                <w:lang w:val="en-US"/>
              </w:rPr>
              <w:t>2018)</w:t>
            </w:r>
            <w:r w:rsidR="00B962F6">
              <w:rPr>
                <w:rStyle w:val="Odwoanieprzypisudolnego"/>
                <w:bCs/>
                <w:color w:val="FFFFFF" w:themeColor="background1"/>
                <w:lang w:val="en-US"/>
              </w:rPr>
              <w:footnoteReference w:id="4"/>
            </w:r>
            <w:r w:rsidR="001C6B03">
              <w:rPr>
                <w:bCs/>
                <w:color w:val="FFFFFF" w:themeColor="background1"/>
                <w:lang w:val="en-US"/>
              </w:rPr>
              <w:t>, mln eur</w:t>
            </w:r>
            <w:r w:rsidR="00B962F6">
              <w:rPr>
                <w:bCs/>
                <w:color w:val="FFFFFF" w:themeColor="background1"/>
                <w:lang w:val="en-US"/>
              </w:rPr>
              <w:t>o</w:t>
            </w:r>
          </w:p>
        </w:tc>
      </w:tr>
      <w:tr w:rsidR="00F40F3D" w:rsidRPr="00EA110F" w14:paraId="328098F6" w14:textId="77777777" w:rsidTr="008B14F1">
        <w:trPr>
          <w:trHeight w:val="284"/>
        </w:trPr>
        <w:tc>
          <w:tcPr>
            <w:tcW w:w="964" w:type="dxa"/>
            <w:vMerge w:val="restart"/>
            <w:shd w:val="clear" w:color="auto" w:fill="F2F2F2" w:themeFill="background1" w:themeFillShade="F2"/>
            <w:vAlign w:val="center"/>
          </w:tcPr>
          <w:p w14:paraId="1C8230BE" w14:textId="77777777" w:rsidR="00F40F3D" w:rsidRPr="004566D4" w:rsidRDefault="00F40F3D" w:rsidP="004566D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66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programu</w:t>
            </w:r>
          </w:p>
        </w:tc>
        <w:tc>
          <w:tcPr>
            <w:tcW w:w="907" w:type="dxa"/>
            <w:vMerge w:val="restart"/>
            <w:shd w:val="clear" w:color="auto" w:fill="F2F2F2" w:themeFill="background1" w:themeFillShade="F2"/>
            <w:vAlign w:val="center"/>
          </w:tcPr>
          <w:p w14:paraId="4994A016" w14:textId="77777777" w:rsidR="00F40F3D" w:rsidRPr="004566D4" w:rsidRDefault="00F40F3D" w:rsidP="00B962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Alokacja</w:t>
            </w:r>
          </w:p>
        </w:tc>
        <w:tc>
          <w:tcPr>
            <w:tcW w:w="2550" w:type="dxa"/>
            <w:gridSpan w:val="3"/>
            <w:tcBorders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5CE49FD" w14:textId="77777777" w:rsidR="00F40F3D" w:rsidRPr="004566D4" w:rsidRDefault="00F40F3D" w:rsidP="00462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66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Fundusz 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5F956E9" w14:textId="77777777" w:rsidR="00F40F3D" w:rsidRPr="004566D4" w:rsidRDefault="00F40F3D" w:rsidP="00B962F6">
            <w:pPr>
              <w:spacing w:line="192" w:lineRule="auto"/>
              <w:jc w:val="center"/>
            </w:pPr>
            <w:r w:rsidRPr="004566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Udział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3625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398806FB" w14:textId="77777777" w:rsidR="00F40F3D" w:rsidRPr="00EA110F" w:rsidRDefault="00F40F3D" w:rsidP="00EA110F">
            <w:pPr>
              <w:ind w:right="177"/>
              <w:jc w:val="right"/>
              <w:rPr>
                <w:noProof/>
                <w:lang w:eastAsia="en-GB"/>
              </w:rPr>
            </w:pPr>
            <w:r w:rsidRPr="00EA110F">
              <w:rPr>
                <w:noProof/>
                <w:lang w:eastAsia="pl-PL"/>
              </w:rPr>
              <w:drawing>
                <wp:inline distT="0" distB="0" distL="0" distR="0" wp14:anchorId="241B883A" wp14:editId="3FCDE56B">
                  <wp:extent cx="2274073" cy="1979875"/>
                  <wp:effectExtent l="0" t="0" r="0" b="1905"/>
                  <wp:docPr id="1" name="Wykre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F40F3D" w:rsidRPr="00EA110F" w14:paraId="02D917C0" w14:textId="77777777" w:rsidTr="00DB5F72">
        <w:trPr>
          <w:trHeight w:val="284"/>
        </w:trPr>
        <w:tc>
          <w:tcPr>
            <w:tcW w:w="964" w:type="dxa"/>
            <w:vMerge/>
            <w:tcBorders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78DDAD" w14:textId="77777777" w:rsidR="00F40F3D" w:rsidRPr="004566D4" w:rsidRDefault="00F40F3D" w:rsidP="004566D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  <w:vMerge/>
            <w:tcBorders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DCF430" w14:textId="77777777" w:rsidR="00F40F3D" w:rsidRPr="004566D4" w:rsidRDefault="00F40F3D" w:rsidP="00462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90B413" w14:textId="77777777" w:rsidR="00F40F3D" w:rsidRPr="004566D4" w:rsidRDefault="00F40F3D" w:rsidP="00462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66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EFRR</w:t>
            </w:r>
          </w:p>
        </w:tc>
        <w:tc>
          <w:tcPr>
            <w:tcW w:w="850" w:type="dxa"/>
            <w:tcBorders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6590031" w14:textId="77777777" w:rsidR="00F40F3D" w:rsidRPr="004566D4" w:rsidRDefault="00F40F3D" w:rsidP="00462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66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ESF</w:t>
            </w:r>
          </w:p>
        </w:tc>
        <w:tc>
          <w:tcPr>
            <w:tcW w:w="850" w:type="dxa"/>
            <w:tcBorders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690F9F" w14:textId="77777777" w:rsidR="00F40F3D" w:rsidRPr="004566D4" w:rsidRDefault="00F40F3D" w:rsidP="00462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66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FS</w:t>
            </w:r>
          </w:p>
        </w:tc>
        <w:tc>
          <w:tcPr>
            <w:tcW w:w="1134" w:type="dxa"/>
            <w:vMerge/>
            <w:tcBorders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892CF7" w14:textId="77777777" w:rsidR="00F40F3D" w:rsidRPr="004566D4" w:rsidRDefault="00F40F3D" w:rsidP="004566D4">
            <w:pPr>
              <w:spacing w:line="192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25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758ED047" w14:textId="77777777" w:rsidR="00F40F3D" w:rsidRPr="00EA110F" w:rsidRDefault="00F40F3D" w:rsidP="00EA110F">
            <w:pPr>
              <w:ind w:right="177"/>
              <w:jc w:val="right"/>
              <w:rPr>
                <w:noProof/>
                <w:lang w:eastAsia="pl-PL"/>
              </w:rPr>
            </w:pPr>
          </w:p>
        </w:tc>
      </w:tr>
      <w:tr w:rsidR="00F40F3D" w:rsidRPr="00EA110F" w14:paraId="791DCC22" w14:textId="77777777" w:rsidTr="00DB5F72">
        <w:trPr>
          <w:trHeight w:val="284"/>
        </w:trPr>
        <w:tc>
          <w:tcPr>
            <w:tcW w:w="96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70E036" w14:textId="77777777" w:rsidR="00F40F3D" w:rsidRPr="00EA110F" w:rsidRDefault="00F40F3D" w:rsidP="00EA110F">
            <w:pPr>
              <w:rPr>
                <w:rFonts w:cstheme="minorHAnsi"/>
                <w:sz w:val="18"/>
                <w:szCs w:val="18"/>
              </w:rPr>
            </w:pPr>
            <w:r w:rsidRPr="00EA110F">
              <w:rPr>
                <w:rFonts w:cstheme="minorHAnsi"/>
                <w:color w:val="000000"/>
                <w:sz w:val="18"/>
                <w:szCs w:val="18"/>
              </w:rPr>
              <w:t>RPO</w:t>
            </w:r>
          </w:p>
        </w:tc>
        <w:tc>
          <w:tcPr>
            <w:tcW w:w="90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E56720D" w14:textId="77777777" w:rsidR="00F40F3D" w:rsidRPr="004566D4" w:rsidRDefault="00F40F3D" w:rsidP="000F7D4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66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31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56245EC" w14:textId="77777777" w:rsidR="00F40F3D" w:rsidRPr="004566D4" w:rsidRDefault="00F40F3D" w:rsidP="000F7D4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22 904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621497A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8737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60C7F86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8505FA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66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40,7%</w:t>
            </w:r>
          </w:p>
        </w:tc>
        <w:tc>
          <w:tcPr>
            <w:tcW w:w="3625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524340E7" w14:textId="77777777" w:rsidR="00F40F3D" w:rsidRPr="00EA110F" w:rsidRDefault="00F40F3D" w:rsidP="00EA110F">
            <w:pPr>
              <w:jc w:val="center"/>
            </w:pPr>
          </w:p>
        </w:tc>
      </w:tr>
      <w:tr w:rsidR="00F40F3D" w:rsidRPr="00EA110F" w14:paraId="76AA6D6E" w14:textId="77777777" w:rsidTr="00DB5F72">
        <w:trPr>
          <w:trHeight w:val="284"/>
        </w:trPr>
        <w:tc>
          <w:tcPr>
            <w:tcW w:w="96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2D3BFA" w14:textId="77777777" w:rsidR="00F40F3D" w:rsidRPr="00EA110F" w:rsidRDefault="00F40F3D" w:rsidP="00EA110F">
            <w:pPr>
              <w:rPr>
                <w:rFonts w:cstheme="minorHAnsi"/>
                <w:sz w:val="18"/>
                <w:szCs w:val="18"/>
              </w:rPr>
            </w:pPr>
            <w:r w:rsidRPr="00EA110F">
              <w:rPr>
                <w:rFonts w:cstheme="minorHAnsi"/>
                <w:color w:val="000000"/>
                <w:sz w:val="18"/>
                <w:szCs w:val="18"/>
              </w:rPr>
              <w:t>POIiŚ</w:t>
            </w:r>
          </w:p>
        </w:tc>
        <w:tc>
          <w:tcPr>
            <w:tcW w:w="90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62909A" w14:textId="77777777" w:rsidR="00F40F3D" w:rsidRPr="004566D4" w:rsidRDefault="00F40F3D" w:rsidP="000F7D4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66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27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879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525948" w14:textId="77777777" w:rsidR="00F40F3D" w:rsidRPr="004566D4" w:rsidRDefault="00F40F3D" w:rsidP="000F7D4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4 989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380A60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BF30261" w14:textId="77777777" w:rsidR="00F40F3D" w:rsidRPr="004566D4" w:rsidRDefault="00F40F3D" w:rsidP="000F7D4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22 890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4AF2697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66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35,7%</w:t>
            </w:r>
          </w:p>
        </w:tc>
        <w:tc>
          <w:tcPr>
            <w:tcW w:w="3625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2E6869AA" w14:textId="77777777" w:rsidR="00F40F3D" w:rsidRPr="00EA110F" w:rsidRDefault="00F40F3D" w:rsidP="00EA110F">
            <w:pPr>
              <w:jc w:val="both"/>
            </w:pPr>
          </w:p>
        </w:tc>
      </w:tr>
      <w:tr w:rsidR="00F40F3D" w:rsidRPr="00EA110F" w14:paraId="1FB09BB0" w14:textId="77777777" w:rsidTr="00DB5F72">
        <w:trPr>
          <w:trHeight w:val="284"/>
        </w:trPr>
        <w:tc>
          <w:tcPr>
            <w:tcW w:w="96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350A87" w14:textId="77777777" w:rsidR="00F40F3D" w:rsidRPr="00EA110F" w:rsidRDefault="00F40F3D" w:rsidP="00EA110F">
            <w:pPr>
              <w:rPr>
                <w:rFonts w:cstheme="minorHAnsi"/>
                <w:sz w:val="18"/>
                <w:szCs w:val="18"/>
              </w:rPr>
            </w:pPr>
            <w:r w:rsidRPr="00EA110F">
              <w:rPr>
                <w:rFonts w:cstheme="minorHAnsi"/>
                <w:color w:val="000000"/>
                <w:sz w:val="18"/>
                <w:szCs w:val="18"/>
              </w:rPr>
              <w:t>POIR</w:t>
            </w:r>
          </w:p>
        </w:tc>
        <w:tc>
          <w:tcPr>
            <w:tcW w:w="90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E1905F" w14:textId="77777777" w:rsidR="00F40F3D" w:rsidRPr="004566D4" w:rsidRDefault="00F40F3D" w:rsidP="000F7D4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66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8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760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C6C503F" w14:textId="77777777" w:rsidR="00F40F3D" w:rsidRPr="004566D4" w:rsidRDefault="00F40F3D" w:rsidP="000F7D4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8 760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4F7985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DF5CE3E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F5DBB7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66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11,2%</w:t>
            </w:r>
          </w:p>
        </w:tc>
        <w:tc>
          <w:tcPr>
            <w:tcW w:w="3625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67FAE859" w14:textId="77777777" w:rsidR="00F40F3D" w:rsidRPr="00EA110F" w:rsidRDefault="00F40F3D" w:rsidP="00EA110F">
            <w:pPr>
              <w:jc w:val="both"/>
            </w:pPr>
          </w:p>
        </w:tc>
      </w:tr>
      <w:tr w:rsidR="00F40F3D" w:rsidRPr="00EA110F" w14:paraId="7A72306A" w14:textId="77777777" w:rsidTr="00DB5F72">
        <w:trPr>
          <w:trHeight w:val="284"/>
        </w:trPr>
        <w:tc>
          <w:tcPr>
            <w:tcW w:w="96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551845B" w14:textId="77777777" w:rsidR="00F40F3D" w:rsidRPr="00EA110F" w:rsidRDefault="00F40F3D" w:rsidP="00EA110F">
            <w:pPr>
              <w:rPr>
                <w:rFonts w:cstheme="minorHAnsi"/>
                <w:sz w:val="18"/>
                <w:szCs w:val="18"/>
              </w:rPr>
            </w:pPr>
            <w:r w:rsidRPr="00EA110F">
              <w:rPr>
                <w:rFonts w:cstheme="minorHAnsi"/>
                <w:color w:val="000000"/>
                <w:sz w:val="18"/>
                <w:szCs w:val="18"/>
              </w:rPr>
              <w:t>POWER</w:t>
            </w:r>
          </w:p>
        </w:tc>
        <w:tc>
          <w:tcPr>
            <w:tcW w:w="90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34F7399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66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4 689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127493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10EE387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4 689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33B6765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FA4DC3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66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6,1%</w:t>
            </w:r>
          </w:p>
        </w:tc>
        <w:tc>
          <w:tcPr>
            <w:tcW w:w="3625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0585D612" w14:textId="77777777" w:rsidR="00F40F3D" w:rsidRPr="00EA110F" w:rsidRDefault="00F40F3D" w:rsidP="00EA110F">
            <w:pPr>
              <w:jc w:val="both"/>
            </w:pPr>
          </w:p>
        </w:tc>
      </w:tr>
      <w:tr w:rsidR="00F40F3D" w:rsidRPr="00EA110F" w14:paraId="4A75694C" w14:textId="77777777" w:rsidTr="00DB5F72">
        <w:trPr>
          <w:trHeight w:val="284"/>
        </w:trPr>
        <w:tc>
          <w:tcPr>
            <w:tcW w:w="96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B839BA" w14:textId="77777777" w:rsidR="00F40F3D" w:rsidRPr="00EA110F" w:rsidRDefault="00F40F3D" w:rsidP="00EA110F">
            <w:pPr>
              <w:rPr>
                <w:rFonts w:cstheme="minorHAnsi"/>
                <w:sz w:val="18"/>
                <w:szCs w:val="18"/>
              </w:rPr>
            </w:pPr>
            <w:r w:rsidRPr="00EA110F">
              <w:rPr>
                <w:rFonts w:cstheme="minorHAnsi"/>
                <w:color w:val="000000"/>
                <w:sz w:val="18"/>
                <w:szCs w:val="18"/>
              </w:rPr>
              <w:t>POPC</w:t>
            </w:r>
          </w:p>
        </w:tc>
        <w:tc>
          <w:tcPr>
            <w:tcW w:w="90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8B3CF4" w14:textId="77777777" w:rsidR="00F40F3D" w:rsidRPr="004566D4" w:rsidRDefault="00F40F3D" w:rsidP="000F7D4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66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7AE592C" w14:textId="77777777" w:rsidR="00F40F3D" w:rsidRPr="004566D4" w:rsidRDefault="00F40F3D" w:rsidP="000F7D4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2 209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69FC2A0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FA6592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1745AA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66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2,8%</w:t>
            </w:r>
          </w:p>
        </w:tc>
        <w:tc>
          <w:tcPr>
            <w:tcW w:w="3625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35D86A5E" w14:textId="77777777" w:rsidR="00F40F3D" w:rsidRPr="00EA110F" w:rsidRDefault="00F40F3D" w:rsidP="00EA110F">
            <w:pPr>
              <w:jc w:val="both"/>
            </w:pPr>
          </w:p>
        </w:tc>
      </w:tr>
      <w:tr w:rsidR="00F40F3D" w:rsidRPr="00EA110F" w14:paraId="13F4ABF0" w14:textId="77777777" w:rsidTr="00DB5F72">
        <w:trPr>
          <w:trHeight w:val="284"/>
        </w:trPr>
        <w:tc>
          <w:tcPr>
            <w:tcW w:w="96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555796" w14:textId="77777777" w:rsidR="00F40F3D" w:rsidRPr="00EA110F" w:rsidRDefault="00F40F3D" w:rsidP="00EA110F">
            <w:pPr>
              <w:rPr>
                <w:rFonts w:cstheme="minorHAnsi"/>
                <w:sz w:val="18"/>
                <w:szCs w:val="18"/>
              </w:rPr>
            </w:pPr>
            <w:r w:rsidRPr="00EA110F">
              <w:rPr>
                <w:rFonts w:cstheme="minorHAnsi"/>
                <w:color w:val="000000"/>
                <w:sz w:val="18"/>
                <w:szCs w:val="18"/>
              </w:rPr>
              <w:t>POPW</w:t>
            </w:r>
          </w:p>
        </w:tc>
        <w:tc>
          <w:tcPr>
            <w:tcW w:w="90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60DDA35" w14:textId="77777777" w:rsidR="00F40F3D" w:rsidRPr="004566D4" w:rsidRDefault="00F40F3D" w:rsidP="000F7D4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66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034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78C605" w14:textId="77777777" w:rsidR="00F40F3D" w:rsidRPr="004566D4" w:rsidRDefault="00F40F3D" w:rsidP="000F7D4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2 034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519273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6BF714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CF2A808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66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2,6%</w:t>
            </w:r>
          </w:p>
        </w:tc>
        <w:tc>
          <w:tcPr>
            <w:tcW w:w="3625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34253F28" w14:textId="77777777" w:rsidR="00F40F3D" w:rsidRPr="00EA110F" w:rsidRDefault="00F40F3D" w:rsidP="00EA110F">
            <w:pPr>
              <w:jc w:val="both"/>
            </w:pPr>
          </w:p>
        </w:tc>
      </w:tr>
      <w:tr w:rsidR="00F40F3D" w:rsidRPr="00EA110F" w14:paraId="0352D8F9" w14:textId="77777777" w:rsidTr="00DB5F72">
        <w:trPr>
          <w:trHeight w:val="284"/>
        </w:trPr>
        <w:tc>
          <w:tcPr>
            <w:tcW w:w="96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74D7D4" w14:textId="77777777" w:rsidR="00F40F3D" w:rsidRPr="00EA110F" w:rsidRDefault="00F40F3D" w:rsidP="00EA110F">
            <w:pPr>
              <w:rPr>
                <w:rFonts w:cstheme="minorHAnsi"/>
                <w:sz w:val="18"/>
                <w:szCs w:val="18"/>
              </w:rPr>
            </w:pPr>
            <w:r w:rsidRPr="00EA110F">
              <w:rPr>
                <w:rFonts w:cstheme="minorHAnsi"/>
                <w:color w:val="000000"/>
                <w:sz w:val="18"/>
                <w:szCs w:val="18"/>
              </w:rPr>
              <w:t>POPT</w:t>
            </w:r>
          </w:p>
        </w:tc>
        <w:tc>
          <w:tcPr>
            <w:tcW w:w="90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8897FD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712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3B92B0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77323F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7CF593A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712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89EE4B4" w14:textId="77777777" w:rsidR="00F40F3D" w:rsidRPr="004566D4" w:rsidRDefault="00F40F3D" w:rsidP="004566D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66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0,9%</w:t>
            </w:r>
          </w:p>
        </w:tc>
        <w:tc>
          <w:tcPr>
            <w:tcW w:w="3625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02B8B70B" w14:textId="77777777" w:rsidR="00F40F3D" w:rsidRPr="00EA110F" w:rsidRDefault="00F40F3D" w:rsidP="00EA110F">
            <w:pPr>
              <w:jc w:val="both"/>
            </w:pPr>
          </w:p>
        </w:tc>
      </w:tr>
      <w:tr w:rsidR="00F40F3D" w:rsidRPr="00EA110F" w14:paraId="17DD4F55" w14:textId="77777777" w:rsidTr="00DB5F72">
        <w:trPr>
          <w:trHeight w:val="284"/>
        </w:trPr>
        <w:tc>
          <w:tcPr>
            <w:tcW w:w="964" w:type="dxa"/>
            <w:tcBorders>
              <w:top w:val="single" w:sz="8" w:space="0" w:color="FFFFFF" w:themeColor="background1"/>
              <w:bottom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C5A6FE0" w14:textId="77777777" w:rsidR="00F40F3D" w:rsidRPr="00313CA3" w:rsidRDefault="00F40F3D" w:rsidP="00EA110F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13CA3">
              <w:rPr>
                <w:rFonts w:cstheme="minorHAnsi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907" w:type="dxa"/>
            <w:tcBorders>
              <w:top w:val="single" w:sz="8" w:space="0" w:color="FFFFFF" w:themeColor="background1"/>
              <w:bottom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4829D51" w14:textId="77777777" w:rsidR="00F40F3D" w:rsidRPr="00313CA3" w:rsidRDefault="00F40F3D" w:rsidP="000F7D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313CA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77 914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1DA006C" w14:textId="77777777" w:rsidR="00F40F3D" w:rsidRPr="00313CA3" w:rsidRDefault="00F40F3D" w:rsidP="000F7D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313CA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40 896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4EFA77" w14:textId="77777777" w:rsidR="00F40F3D" w:rsidRPr="00313CA3" w:rsidRDefault="00F40F3D" w:rsidP="000F7D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313CA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13 416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EB68CB" w14:textId="77777777" w:rsidR="00F40F3D" w:rsidRPr="00313CA3" w:rsidRDefault="00F40F3D" w:rsidP="000F7D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313CA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23 602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200B1C" w14:textId="77777777" w:rsidR="00F40F3D" w:rsidRPr="00313CA3" w:rsidRDefault="00F40F3D" w:rsidP="004566D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313CA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100%</w:t>
            </w:r>
          </w:p>
        </w:tc>
        <w:tc>
          <w:tcPr>
            <w:tcW w:w="3625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5157296E" w14:textId="77777777" w:rsidR="00F40F3D" w:rsidRPr="00EA110F" w:rsidRDefault="00F40F3D" w:rsidP="00EA110F">
            <w:pPr>
              <w:jc w:val="both"/>
            </w:pPr>
          </w:p>
        </w:tc>
      </w:tr>
    </w:tbl>
    <w:p w14:paraId="359252D4" w14:textId="77777777" w:rsidR="0068292E" w:rsidRDefault="0068292E" w:rsidP="0068292E">
      <w:pPr>
        <w:jc w:val="both"/>
      </w:pPr>
    </w:p>
    <w:p w14:paraId="248445BC" w14:textId="26F9A9B5" w:rsidR="008B229D" w:rsidRDefault="00EA110F" w:rsidP="008B229D">
      <w:pPr>
        <w:jc w:val="both"/>
      </w:pPr>
      <w:r>
        <w:t xml:space="preserve">Poniżej przedstawiono podział alokacji </w:t>
      </w:r>
      <w:r w:rsidR="008B229D">
        <w:t xml:space="preserve">finansowej </w:t>
      </w:r>
      <w:r>
        <w:t>na programy na lata 2021-2027</w:t>
      </w:r>
      <w:r w:rsidR="0068292E">
        <w:t>.</w:t>
      </w:r>
      <w:r w:rsidR="005D7732">
        <w:t xml:space="preserve"> </w:t>
      </w:r>
      <w:r w:rsidR="008B229D">
        <w:t xml:space="preserve">Na poziome krajowym kontynowana będzie realizacja programów z dotychczasowym zakresem interwencji oraz z </w:t>
      </w:r>
      <w:r w:rsidR="0068292E">
        <w:t xml:space="preserve">zachowaniem proporcji </w:t>
      </w:r>
      <w:r w:rsidR="0068292E" w:rsidRPr="004339AD">
        <w:t>podziału alokacji z obecnej perspektywy finansowej (po pominięciu „sztywnej” alokacji na PR 40%)</w:t>
      </w:r>
      <w:r w:rsidR="0068292E">
        <w:t xml:space="preserve">. </w:t>
      </w:r>
    </w:p>
    <w:p w14:paraId="492C4130" w14:textId="751EEC9E" w:rsidR="00584568" w:rsidRDefault="0068292E" w:rsidP="005D2440">
      <w:pPr>
        <w:spacing w:before="120" w:after="120"/>
        <w:jc w:val="both"/>
      </w:pPr>
      <w:r>
        <w:t>Rozszerzony zostaje zakres terytorialny programu dla województw Polski Wschodniej o nowy region mazowiecki regionalny. Alokacja programu została powiększona o dodatkowe środki w wysokości 600 mln euro wynegocjowane przez Premiera Mateusza Morawieckiego podczas szczytu Rady Europejskiej w dn. 17-21 lipca 2020 r. W nowej perspektywie wydzielono odręby program dodykowany pomocy żywnościowej najbardziej potrzebującym</w:t>
      </w:r>
      <w:r w:rsidR="008B229D">
        <w:t xml:space="preserve"> finansowany z ESF+. Program dotyczący sprawiedliwej transformacji realizowany będzie na poziomie krajowym</w:t>
      </w:r>
      <w:r>
        <w:t>.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48"/>
        <w:gridCol w:w="930"/>
        <w:gridCol w:w="928"/>
        <w:gridCol w:w="779"/>
        <w:gridCol w:w="942"/>
        <w:gridCol w:w="3440"/>
      </w:tblGrid>
      <w:tr w:rsidR="00122711" w:rsidRPr="00122711" w14:paraId="29759689" w14:textId="1B78F8C3" w:rsidTr="00DA2CD2">
        <w:trPr>
          <w:trHeight w:val="30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0AEBFFC0" w14:textId="3BA31909" w:rsidR="00122711" w:rsidRPr="00122711" w:rsidRDefault="00122711" w:rsidP="0012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122711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Pr</w:t>
            </w:r>
            <w:r w:rsidR="004339AD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ogramy na lata 2021-2027</w:t>
            </w:r>
            <w:r w:rsidR="003F4844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, mln euro</w:t>
            </w:r>
          </w:p>
        </w:tc>
      </w:tr>
      <w:tr w:rsidR="00DA2CD2" w:rsidRPr="00122711" w14:paraId="2FEBEDFB" w14:textId="1ABF10FD" w:rsidTr="008B229D">
        <w:trPr>
          <w:trHeight w:val="708"/>
        </w:trPr>
        <w:tc>
          <w:tcPr>
            <w:tcW w:w="124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1F1CC815" w14:textId="77777777" w:rsidR="00122711" w:rsidRPr="00122711" w:rsidRDefault="00122711" w:rsidP="001227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7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programu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2E349DF4" w14:textId="77777777" w:rsidR="00122711" w:rsidRPr="00122711" w:rsidRDefault="00122711" w:rsidP="0012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7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Alokacja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339C68B1" w14:textId="77777777" w:rsidR="00122711" w:rsidRPr="00122711" w:rsidRDefault="00122711" w:rsidP="0012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7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EFRR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126919FB" w14:textId="77777777" w:rsidR="00122711" w:rsidRPr="00122711" w:rsidRDefault="00122711" w:rsidP="0012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7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EFS+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65167731" w14:textId="77777777" w:rsidR="00122711" w:rsidRPr="00122711" w:rsidRDefault="00122711" w:rsidP="0012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7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FS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29E777CE" w14:textId="77777777" w:rsidR="00122711" w:rsidRPr="00122711" w:rsidRDefault="00122711" w:rsidP="0012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7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Udziały [%]</w:t>
            </w: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2EFB8224" w14:textId="539A3BFD" w:rsidR="00122711" w:rsidRPr="00122711" w:rsidRDefault="00A16C0A" w:rsidP="0012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pl-PL"/>
              </w:rPr>
              <w:drawing>
                <wp:inline distT="0" distB="0" distL="0" distR="0" wp14:anchorId="5EFC47A7" wp14:editId="45B025CB">
                  <wp:extent cx="2092147" cy="2194560"/>
                  <wp:effectExtent l="0" t="0" r="3810" b="0"/>
                  <wp:docPr id="15" name="Wykres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8B229D" w:rsidRPr="00122711" w14:paraId="402448C4" w14:textId="0CB77EB5" w:rsidTr="008B229D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1599C398" w14:textId="77777777" w:rsidR="008B229D" w:rsidRPr="00122711" w:rsidRDefault="008B229D" w:rsidP="008B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22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46F15404" w14:textId="3C4C76A3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25 157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33310754" w14:textId="5C70194A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18 851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7AF2EE3D" w14:textId="53871010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6 306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54AA9A5D" w14:textId="7F800A07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2FF0B389" w14:textId="6E0DB509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40,0%</w:t>
            </w:r>
          </w:p>
        </w:tc>
        <w:tc>
          <w:tcPr>
            <w:tcW w:w="3440" w:type="dxa"/>
            <w:vMerge/>
            <w:tcBorders>
              <w:left w:val="nil"/>
              <w:right w:val="nil"/>
            </w:tcBorders>
            <w:shd w:val="clear" w:color="000000" w:fill="F2F2F2"/>
          </w:tcPr>
          <w:p w14:paraId="768491BC" w14:textId="77777777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B229D" w:rsidRPr="00122711" w14:paraId="062ED1E4" w14:textId="56D7CB09" w:rsidTr="008B229D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4B08514F" w14:textId="77777777" w:rsidR="008B229D" w:rsidRPr="00122711" w:rsidRDefault="008B229D" w:rsidP="008B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22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POIiŚ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19240FD4" w14:textId="1EE71C46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22 206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17800079" w14:textId="2BB77820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11 349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249EEE3C" w14:textId="388836B9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00264A32" w14:textId="5CA81B8A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10 857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57F8FDD6" w14:textId="38357026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35,3%</w:t>
            </w:r>
          </w:p>
        </w:tc>
        <w:tc>
          <w:tcPr>
            <w:tcW w:w="3440" w:type="dxa"/>
            <w:vMerge/>
            <w:tcBorders>
              <w:left w:val="nil"/>
              <w:right w:val="nil"/>
            </w:tcBorders>
            <w:shd w:val="clear" w:color="000000" w:fill="F2F2F2"/>
          </w:tcPr>
          <w:p w14:paraId="2F950E48" w14:textId="77777777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B229D" w:rsidRPr="00122711" w14:paraId="2683CEF2" w14:textId="0451BD39" w:rsidTr="008B229D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4D36BCD8" w14:textId="77777777" w:rsidR="008B229D" w:rsidRPr="00122711" w:rsidRDefault="008B229D" w:rsidP="008B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22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POIR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47F779F8" w14:textId="751C34AC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6 978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7C0EEE37" w14:textId="561DA6A4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6 978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63D5ACFD" w14:textId="4A8EBAAB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175A4D3D" w14:textId="609C0AD6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7E51E324" w14:textId="5D588FFA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11,1%</w:t>
            </w:r>
          </w:p>
        </w:tc>
        <w:tc>
          <w:tcPr>
            <w:tcW w:w="3440" w:type="dxa"/>
            <w:vMerge/>
            <w:tcBorders>
              <w:left w:val="nil"/>
              <w:right w:val="nil"/>
            </w:tcBorders>
            <w:shd w:val="clear" w:color="000000" w:fill="F2F2F2"/>
          </w:tcPr>
          <w:p w14:paraId="4ED4D7BF" w14:textId="77777777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B229D" w:rsidRPr="00122711" w14:paraId="685AF796" w14:textId="5665A263" w:rsidTr="008B229D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29A6DEED" w14:textId="77777777" w:rsidR="008B229D" w:rsidRPr="00122711" w:rsidRDefault="008B229D" w:rsidP="008B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22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POWER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01C2E8BE" w14:textId="29985AAA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3 798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2D676ECE" w14:textId="54DAF45D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7412AE00" w14:textId="6EDD6DFF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3 798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0BAA2CB1" w14:textId="3FD1C427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1A812AFD" w14:textId="6D5ED106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6,0%</w:t>
            </w:r>
          </w:p>
        </w:tc>
        <w:tc>
          <w:tcPr>
            <w:tcW w:w="3440" w:type="dxa"/>
            <w:vMerge/>
            <w:tcBorders>
              <w:left w:val="nil"/>
              <w:right w:val="nil"/>
            </w:tcBorders>
            <w:shd w:val="clear" w:color="000000" w:fill="F2F2F2"/>
          </w:tcPr>
          <w:p w14:paraId="14138E4D" w14:textId="77777777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B229D" w:rsidRPr="00122711" w14:paraId="359B3BB1" w14:textId="4D46EDBF" w:rsidTr="008B229D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04D920DE" w14:textId="77777777" w:rsidR="008B229D" w:rsidRPr="00122711" w:rsidRDefault="008B229D" w:rsidP="008B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22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POPC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18CEA34B" w14:textId="6985D09C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4A5B2207" w14:textId="4DA0CD35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1 759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25353FB6" w14:textId="2CED509C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06D9E271" w14:textId="273A28CC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6FD0BACD" w14:textId="7D3BCF74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2,8%</w:t>
            </w:r>
          </w:p>
        </w:tc>
        <w:tc>
          <w:tcPr>
            <w:tcW w:w="3440" w:type="dxa"/>
            <w:vMerge/>
            <w:tcBorders>
              <w:left w:val="nil"/>
              <w:right w:val="nil"/>
            </w:tcBorders>
            <w:shd w:val="clear" w:color="000000" w:fill="F2F2F2"/>
          </w:tcPr>
          <w:p w14:paraId="351BA70F" w14:textId="77777777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B229D" w:rsidRPr="00122711" w14:paraId="0E0E5822" w14:textId="00E4A8CB" w:rsidTr="008B229D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1F4DBA76" w14:textId="77777777" w:rsidR="008B229D" w:rsidRPr="00122711" w:rsidRDefault="008B229D" w:rsidP="008B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22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POPW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03F70D73" w14:textId="7A92A1ED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37CB9A51" w14:textId="665B0CFD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18EBEF58" w14:textId="4E0E248B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2E49B53F" w14:textId="0F9CD226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5CBB0727" w14:textId="0E36B3A1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3,5%</w:t>
            </w:r>
          </w:p>
        </w:tc>
        <w:tc>
          <w:tcPr>
            <w:tcW w:w="3440" w:type="dxa"/>
            <w:vMerge/>
            <w:tcBorders>
              <w:left w:val="nil"/>
              <w:right w:val="nil"/>
            </w:tcBorders>
            <w:shd w:val="clear" w:color="000000" w:fill="F2F2F2"/>
          </w:tcPr>
          <w:p w14:paraId="5F2C2C04" w14:textId="77777777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B229D" w:rsidRPr="00122711" w14:paraId="5D1952BB" w14:textId="3CA17F1B" w:rsidTr="008B229D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5757D895" w14:textId="77777777" w:rsidR="008B229D" w:rsidRPr="00122711" w:rsidRDefault="008B229D" w:rsidP="008B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22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 PŻ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601CA9DD" w14:textId="6395E753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46AD660A" w14:textId="08D85211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053076E9" w14:textId="6DD113C4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2F4E83FD" w14:textId="08F02BE2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722A555A" w14:textId="00D04350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3440" w:type="dxa"/>
            <w:vMerge/>
            <w:tcBorders>
              <w:left w:val="nil"/>
              <w:right w:val="nil"/>
            </w:tcBorders>
            <w:shd w:val="clear" w:color="000000" w:fill="F2F2F2"/>
          </w:tcPr>
          <w:p w14:paraId="1A95F219" w14:textId="77777777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B229D" w:rsidRPr="00122711" w14:paraId="6008B60A" w14:textId="057560E8" w:rsidTr="008B229D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2F87C5A6" w14:textId="77777777" w:rsidR="008B229D" w:rsidRPr="00122711" w:rsidRDefault="008B229D" w:rsidP="008B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22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POPT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06B6327F" w14:textId="50B30F1B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16BBE6AA" w14:textId="00575DC0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418CC7E6" w14:textId="32B42CA6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50DD889D" w14:textId="4521A1FD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5DCEC281" w14:textId="36504C4A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0,9%</w:t>
            </w:r>
          </w:p>
        </w:tc>
        <w:tc>
          <w:tcPr>
            <w:tcW w:w="3440" w:type="dxa"/>
            <w:vMerge/>
            <w:tcBorders>
              <w:left w:val="nil"/>
              <w:right w:val="nil"/>
            </w:tcBorders>
            <w:shd w:val="clear" w:color="000000" w:fill="F2F2F2"/>
          </w:tcPr>
          <w:p w14:paraId="03136420" w14:textId="77777777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B229D" w:rsidRPr="00122711" w14:paraId="459BCC7C" w14:textId="19F4C9D0" w:rsidTr="008B229D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93C7C0B" w14:textId="77777777" w:rsidR="008B229D" w:rsidRPr="00122711" w:rsidRDefault="008B229D" w:rsidP="008B229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12271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Razem PO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306F86BE" w14:textId="418B8382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62 892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4190EB35" w14:textId="2040D6CA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41 724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6F9C3554" w14:textId="727CBE93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10 311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56B6D8FE" w14:textId="36A7FA46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10 857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3FAF5D51" w14:textId="6539266B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3440" w:type="dxa"/>
            <w:vMerge/>
            <w:tcBorders>
              <w:left w:val="nil"/>
              <w:right w:val="nil"/>
            </w:tcBorders>
            <w:shd w:val="clear" w:color="000000" w:fill="F2F2F2"/>
          </w:tcPr>
          <w:p w14:paraId="5EEEEE28" w14:textId="77777777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B229D" w:rsidRPr="00122711" w14:paraId="7F9C6027" w14:textId="0F334ADA" w:rsidTr="008B229D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50085A5" w14:textId="77777777" w:rsidR="008B229D" w:rsidRPr="00122711" w:rsidRDefault="008B229D" w:rsidP="008B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22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 JTF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0013C132" w14:textId="5C83D2A7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10E73BC3" w14:textId="48352D34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11EC5BD8" w14:textId="3B140A3E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338C30D9" w14:textId="0AD9CB03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243AD223" w14:textId="604DE770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0" w:type="dxa"/>
            <w:vMerge/>
            <w:tcBorders>
              <w:left w:val="nil"/>
              <w:right w:val="nil"/>
            </w:tcBorders>
            <w:shd w:val="clear" w:color="000000" w:fill="F2F2F2"/>
          </w:tcPr>
          <w:p w14:paraId="3DCB4A43" w14:textId="77777777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B229D" w:rsidRPr="00122711" w14:paraId="0CA71A62" w14:textId="3AECC79A" w:rsidTr="008B229D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D21B766" w14:textId="77777777" w:rsidR="008B229D" w:rsidRPr="00122711" w:rsidRDefault="008B229D" w:rsidP="008B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22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EWT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01858805" w14:textId="27B49A1E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7ABFD1A0" w14:textId="56892FFD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2BD9CE9B" w14:textId="6802D480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5DD7C97A" w14:textId="4F9F194D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vAlign w:val="center"/>
            <w:hideMark/>
          </w:tcPr>
          <w:p w14:paraId="3A593DDD" w14:textId="259A80E8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0" w:type="dxa"/>
            <w:vMerge/>
            <w:tcBorders>
              <w:left w:val="nil"/>
              <w:right w:val="nil"/>
            </w:tcBorders>
            <w:shd w:val="clear" w:color="000000" w:fill="F2F2F2"/>
          </w:tcPr>
          <w:p w14:paraId="28B241ED" w14:textId="77777777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B229D" w:rsidRPr="00122711" w14:paraId="37E02834" w14:textId="5997F8EA" w:rsidTr="008B229D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ABE5F1" w14:textId="311A560D" w:rsidR="008B229D" w:rsidRPr="00122711" w:rsidRDefault="008B229D" w:rsidP="008B2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7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Ogółem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AA0F4D7" w14:textId="33500745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67 389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BDDAEFA" w14:textId="2033A461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28E999F" w14:textId="7835ED8F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3A8125A" w14:textId="47E77C5D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1D4B2E7" w14:textId="169AC78A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0" w:type="dxa"/>
            <w:vMerge/>
            <w:tcBorders>
              <w:left w:val="nil"/>
              <w:bottom w:val="nil"/>
              <w:right w:val="nil"/>
            </w:tcBorders>
            <w:shd w:val="clear" w:color="000000" w:fill="F2F2F2"/>
          </w:tcPr>
          <w:p w14:paraId="3634FE5A" w14:textId="77777777" w:rsidR="008B229D" w:rsidRPr="00122711" w:rsidRDefault="008B229D" w:rsidP="008B2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2C7D4DF" w14:textId="5DD54DDD" w:rsidR="00A16C0A" w:rsidRDefault="00A16C0A" w:rsidP="00A16C0A">
      <w:pPr>
        <w:jc w:val="both"/>
      </w:pPr>
    </w:p>
    <w:p w14:paraId="77A66F3D" w14:textId="5B18F3F8" w:rsidR="001B6058" w:rsidRPr="00DB5F72" w:rsidRDefault="0076528D" w:rsidP="00DB5F72">
      <w:pPr>
        <w:pStyle w:val="Nagwek1"/>
        <w:numPr>
          <w:ilvl w:val="0"/>
          <w:numId w:val="19"/>
        </w:numPr>
        <w:spacing w:after="240"/>
        <w:ind w:left="993" w:hanging="426"/>
        <w:rPr>
          <w:rFonts w:eastAsiaTheme="minorEastAsia"/>
          <w:b/>
        </w:rPr>
      </w:pPr>
      <w:r>
        <w:rPr>
          <w:rFonts w:eastAsiaTheme="minorEastAsia"/>
          <w:b/>
        </w:rPr>
        <w:br w:type="column"/>
      </w:r>
      <w:bookmarkStart w:id="2" w:name="_Toc55888884"/>
      <w:r w:rsidR="001B6058" w:rsidRPr="00DB5F72">
        <w:rPr>
          <w:rFonts w:eastAsiaTheme="minorEastAsia"/>
          <w:b/>
        </w:rPr>
        <w:lastRenderedPageBreak/>
        <w:t>Podział alokacji na programy regionalne</w:t>
      </w:r>
      <w:bookmarkEnd w:id="2"/>
    </w:p>
    <w:p w14:paraId="470672DE" w14:textId="2A50C22B" w:rsidR="00026264" w:rsidRDefault="00026264" w:rsidP="00026264">
      <w:pPr>
        <w:spacing w:after="80"/>
        <w:jc w:val="both"/>
      </w:pPr>
      <w:r>
        <w:t xml:space="preserve">W nadchodzącej perspektywie finansowej utworzonych zostanie </w:t>
      </w:r>
      <w:r w:rsidRPr="00026264">
        <w:rPr>
          <w:b/>
        </w:rPr>
        <w:t xml:space="preserve">16 dwufunduszowych </w:t>
      </w:r>
      <w:r w:rsidR="00166D05" w:rsidRPr="00026264">
        <w:rPr>
          <w:b/>
        </w:rPr>
        <w:t xml:space="preserve">programów </w:t>
      </w:r>
      <w:r w:rsidRPr="00026264">
        <w:rPr>
          <w:b/>
        </w:rPr>
        <w:t xml:space="preserve">regionalnych. </w:t>
      </w:r>
      <w:r w:rsidRPr="00E15F27">
        <w:t xml:space="preserve">RP będą </w:t>
      </w:r>
      <w:r>
        <w:t xml:space="preserve">realizowane </w:t>
      </w:r>
      <w:r w:rsidRPr="00E15F27">
        <w:t>we wszystkich NUTS-2, za wyjątkiem warszawskiego stołecznego</w:t>
      </w:r>
      <w:r>
        <w:t>. W przypadku tego regionu zakłada się</w:t>
      </w:r>
      <w:r w:rsidRPr="00E15F27">
        <w:t xml:space="preserve">, </w:t>
      </w:r>
      <w:r>
        <w:t xml:space="preserve">że </w:t>
      </w:r>
      <w:r w:rsidRPr="00E15F27">
        <w:t xml:space="preserve">całość </w:t>
      </w:r>
      <w:r>
        <w:t>jego alokacji</w:t>
      </w:r>
      <w:r w:rsidRPr="00E15F27">
        <w:t xml:space="preserve"> </w:t>
      </w:r>
      <w:r>
        <w:t>będzie zarządzan</w:t>
      </w:r>
      <w:r w:rsidRPr="00E15F27">
        <w:t>a na poziomie centralnym przez MFi</w:t>
      </w:r>
      <w:r w:rsidR="00166D05">
        <w:t xml:space="preserve">PR w ramach krajowych programów, </w:t>
      </w:r>
      <w:r w:rsidRPr="00E15F27">
        <w:t>będących kontynuacją obecnych PO IR</w:t>
      </w:r>
      <w:r w:rsidR="00094951">
        <w:t>, PO PC</w:t>
      </w:r>
      <w:r w:rsidR="00824F3D">
        <w:t>,</w:t>
      </w:r>
      <w:r w:rsidRPr="00E15F27">
        <w:t xml:space="preserve"> PO WER</w:t>
      </w:r>
      <w:r w:rsidR="00094951">
        <w:t xml:space="preserve"> oraz PO PT</w:t>
      </w:r>
      <w:r w:rsidRPr="00E15F27">
        <w:t>.</w:t>
      </w:r>
    </w:p>
    <w:p w14:paraId="5D71844A" w14:textId="77777777" w:rsidR="00026264" w:rsidRDefault="00CD1332" w:rsidP="00026264">
      <w:pPr>
        <w:spacing w:after="80"/>
        <w:jc w:val="both"/>
      </w:pPr>
      <w:r>
        <w:rPr>
          <w:b/>
        </w:rPr>
        <w:t>U</w:t>
      </w:r>
      <w:r w:rsidR="00026264" w:rsidRPr="00026264">
        <w:rPr>
          <w:b/>
        </w:rPr>
        <w:t>trzymany zostanie udział programów regionalnych w całości alokacji na poziomie 40%</w:t>
      </w:r>
      <w:r w:rsidR="00026264">
        <w:t>, tak jak w obecnej perspektywie.</w:t>
      </w:r>
    </w:p>
    <w:p w14:paraId="66ECFC52" w14:textId="751BA3B1" w:rsidR="00026264" w:rsidRDefault="00026264" w:rsidP="00026264">
      <w:pPr>
        <w:jc w:val="both"/>
      </w:pPr>
      <w:r w:rsidRPr="00B23C68">
        <w:t xml:space="preserve">Algorytmem podzielonych zostanie </w:t>
      </w:r>
      <w:r w:rsidR="0076528D">
        <w:t>75</w:t>
      </w:r>
      <w:r w:rsidRPr="00B23C68">
        <w:t>% środków przeznaczonych</w:t>
      </w:r>
      <w:r>
        <w:t xml:space="preserve"> na RP, natomiast 2</w:t>
      </w:r>
      <w:r w:rsidR="0076528D">
        <w:t>5</w:t>
      </w:r>
      <w:r>
        <w:t>% zostanie przeznaczone na rezerwę</w:t>
      </w:r>
      <w:r w:rsidRPr="00275644">
        <w:t xml:space="preserve"> programow</w:t>
      </w:r>
      <w:r>
        <w:t>ą</w:t>
      </w:r>
      <w:r w:rsidRPr="00275644">
        <w:t xml:space="preserve">, do podziału na późniejszym etapie </w:t>
      </w:r>
      <w:r>
        <w:t>programowania</w:t>
      </w:r>
      <w:r w:rsidRPr="00275644">
        <w:t>.</w:t>
      </w:r>
    </w:p>
    <w:p w14:paraId="2C98D625" w14:textId="01806A15" w:rsidR="00026264" w:rsidRDefault="00026264" w:rsidP="00026264">
      <w:pPr>
        <w:jc w:val="both"/>
      </w:pPr>
      <w:r>
        <w:t xml:space="preserve">Zaprezentowane w dalszej części tego materiału wyniki wyliczeń otrzymano </w:t>
      </w:r>
      <w:r w:rsidRPr="007E41A8">
        <w:rPr>
          <w:b/>
        </w:rPr>
        <w:t>wykorzystując algorytm podziału środków</w:t>
      </w:r>
      <w:r w:rsidR="0076528D">
        <w:rPr>
          <w:b/>
        </w:rPr>
        <w:t>, który</w:t>
      </w:r>
      <w:r w:rsidRPr="007E41A8">
        <w:rPr>
          <w:b/>
        </w:rPr>
        <w:t xml:space="preserve"> został opracowany przez DSR w celu osiągnięcia optymalnego klucza </w:t>
      </w:r>
      <w:r w:rsidRPr="00EF01D1">
        <w:rPr>
          <w:b/>
        </w:rPr>
        <w:t xml:space="preserve">podziału. </w:t>
      </w:r>
      <w:r w:rsidRPr="00EF01D1">
        <w:t>Wyniki</w:t>
      </w:r>
      <w:r w:rsidRPr="007E41A8">
        <w:t xml:space="preserve"> otrzymane tą metodą zestawiono w</w:t>
      </w:r>
      <w:r w:rsidR="0076528D">
        <w:t> dalszej części tego materiału.</w:t>
      </w:r>
    </w:p>
    <w:p w14:paraId="7E5C02AF" w14:textId="13DA74BF" w:rsidR="00026264" w:rsidRDefault="00026264" w:rsidP="00166D05">
      <w:pPr>
        <w:spacing w:after="120"/>
        <w:jc w:val="both"/>
      </w:pPr>
      <w:r>
        <w:t>Szczegółow</w:t>
      </w:r>
      <w:r w:rsidR="0076528D">
        <w:t>y</w:t>
      </w:r>
      <w:r>
        <w:t xml:space="preserve"> opis działania metod</w:t>
      </w:r>
      <w:r w:rsidR="0076528D">
        <w:t>y</w:t>
      </w:r>
      <w:r>
        <w:t xml:space="preserve"> podziału środków znajduj</w:t>
      </w:r>
      <w:r w:rsidR="0076528D">
        <w:t>e</w:t>
      </w:r>
      <w:r>
        <w:t xml:space="preserve"> się w </w:t>
      </w:r>
      <w:r w:rsidR="00166D05">
        <w:t xml:space="preserve">Aneksie - </w:t>
      </w:r>
      <w:r>
        <w:t>Metod</w:t>
      </w:r>
      <w:r w:rsidR="0076528D">
        <w:t>a</w:t>
      </w:r>
      <w:r>
        <w:t xml:space="preserve"> podziału</w:t>
      </w:r>
      <w:r w:rsidR="000D0F79">
        <w:t xml:space="preserve"> alokacji na programy regionalne</w:t>
      </w:r>
      <w:r>
        <w:t>.</w:t>
      </w:r>
    </w:p>
    <w:p w14:paraId="25FE7768" w14:textId="77777777" w:rsidR="00026264" w:rsidRPr="00DB5F72" w:rsidRDefault="00026264" w:rsidP="00A15CA2">
      <w:pPr>
        <w:tabs>
          <w:tab w:val="right" w:pos="9072"/>
        </w:tabs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bookmarkStart w:id="3" w:name="_Toc47710495"/>
      <w:r w:rsidRPr="00DB5F72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Opis wskaźników wykorzystanych w algorytmie opracowanym przez DSR</w:t>
      </w:r>
      <w:bookmarkEnd w:id="3"/>
    </w:p>
    <w:p w14:paraId="23CDFEA8" w14:textId="5820E0F8" w:rsidR="00026264" w:rsidRDefault="00026264" w:rsidP="00026264">
      <w:pPr>
        <w:jc w:val="both"/>
      </w:pPr>
      <w:r>
        <w:t xml:space="preserve">Algorytm uwzględnia dwa najistotniejsze w ocenie potrzeb rozwojowych wskaźniki: liczbę ludności oraz poziom zamożności wyrażony za pomocą PKB na mieszkańca. Pozostałe wskaźniki dobierano zgodnie z zasadą: jeden cel polityki = jeden wskaźnik. </w:t>
      </w:r>
    </w:p>
    <w:p w14:paraId="30AF4767" w14:textId="77777777" w:rsidR="00026264" w:rsidRDefault="00026264" w:rsidP="00026264">
      <w:pPr>
        <w:pStyle w:val="Akapitzlist"/>
        <w:numPr>
          <w:ilvl w:val="0"/>
          <w:numId w:val="3"/>
        </w:numPr>
        <w:spacing w:after="0"/>
        <w:jc w:val="both"/>
      </w:pPr>
      <w:r>
        <w:t>CP1</w:t>
      </w:r>
    </w:p>
    <w:p w14:paraId="439B69D6" w14:textId="100D971E" w:rsidR="0076528D" w:rsidRDefault="0076528D" w:rsidP="00824F3D">
      <w:pPr>
        <w:pStyle w:val="Akapitzlist"/>
        <w:numPr>
          <w:ilvl w:val="1"/>
          <w:numId w:val="3"/>
        </w:numPr>
        <w:rPr>
          <w:b/>
        </w:rPr>
      </w:pPr>
      <w:r>
        <w:rPr>
          <w:b/>
        </w:rPr>
        <w:t>U</w:t>
      </w:r>
      <w:r w:rsidRPr="0076528D">
        <w:rPr>
          <w:b/>
        </w:rPr>
        <w:t>dział osób pracujących w B+R w pracujących ogółem</w:t>
      </w:r>
    </w:p>
    <w:p w14:paraId="3E8558F2" w14:textId="19E3F0EF" w:rsidR="00026264" w:rsidRDefault="00026264" w:rsidP="00824F3D">
      <w:pPr>
        <w:pStyle w:val="Akapitzlist"/>
        <w:ind w:left="1418"/>
        <w:jc w:val="both"/>
      </w:pPr>
      <w:r>
        <w:t xml:space="preserve">To miara wykorzystywana do porównywania </w:t>
      </w:r>
      <w:r w:rsidR="0076528D">
        <w:t>zatrudnienia w</w:t>
      </w:r>
      <w:r>
        <w:t xml:space="preserve"> B+R między regionami. Uwzględnienie miary w ujęciu względnym (na </w:t>
      </w:r>
      <w:r w:rsidR="0076528D">
        <w:t>pracującego</w:t>
      </w:r>
      <w:r>
        <w:t>) ułatwia porównania regionów, których ludność jest silnie zróżnicowana.</w:t>
      </w:r>
    </w:p>
    <w:p w14:paraId="1CB21528" w14:textId="77777777" w:rsidR="00026264" w:rsidRDefault="00026264" w:rsidP="00026264">
      <w:pPr>
        <w:pStyle w:val="Akapitzlist"/>
        <w:numPr>
          <w:ilvl w:val="0"/>
          <w:numId w:val="5"/>
        </w:numPr>
        <w:spacing w:after="0"/>
        <w:jc w:val="both"/>
      </w:pPr>
      <w:r>
        <w:t>CP2</w:t>
      </w:r>
    </w:p>
    <w:p w14:paraId="6656EED2" w14:textId="77777777" w:rsidR="00727AC5" w:rsidRDefault="00727AC5" w:rsidP="00727AC5">
      <w:pPr>
        <w:pStyle w:val="Akapitzlist"/>
        <w:numPr>
          <w:ilvl w:val="1"/>
          <w:numId w:val="3"/>
        </w:numPr>
        <w:spacing w:after="0"/>
        <w:jc w:val="both"/>
        <w:rPr>
          <w:b/>
        </w:rPr>
      </w:pPr>
      <w:r>
        <w:rPr>
          <w:b/>
        </w:rPr>
        <w:t>Mała retencja wodna</w:t>
      </w:r>
      <w:r w:rsidRPr="005425E1">
        <w:rPr>
          <w:b/>
        </w:rPr>
        <w:t xml:space="preserve"> </w:t>
      </w:r>
    </w:p>
    <w:p w14:paraId="3014DD2F" w14:textId="77777777" w:rsidR="00727AC5" w:rsidRDefault="00727AC5" w:rsidP="00727AC5">
      <w:pPr>
        <w:spacing w:after="0"/>
        <w:ind w:left="1418"/>
        <w:jc w:val="both"/>
      </w:pPr>
      <w:r>
        <w:t xml:space="preserve">Wskaźnik pokazuje terytorialne zróżnicowanie dotyczące </w:t>
      </w:r>
      <w:r w:rsidR="00FF5011">
        <w:t>łącznej pojemności obiektow małej retencji wodnej, w szczególności:</w:t>
      </w:r>
      <w:r>
        <w:t xml:space="preserve"> </w:t>
      </w:r>
      <w:r w:rsidR="00FF5011">
        <w:t>budowli</w:t>
      </w:r>
      <w:r w:rsidR="00FF5011" w:rsidRPr="00FF5011">
        <w:t xml:space="preserve"> i </w:t>
      </w:r>
      <w:r w:rsidR="00FF5011">
        <w:t>urządzeń</w:t>
      </w:r>
      <w:r w:rsidR="00FF5011" w:rsidRPr="00FF5011">
        <w:t xml:space="preserve"> </w:t>
      </w:r>
      <w:r w:rsidR="00FF5011">
        <w:t>służących</w:t>
      </w:r>
      <w:r w:rsidR="00FF5011" w:rsidRPr="00FF5011">
        <w:t xml:space="preserve"> zatrzymaniu jak największej iloś</w:t>
      </w:r>
      <w:r w:rsidR="00FF5011">
        <w:t>ci wody w jej powierzchniowym i </w:t>
      </w:r>
      <w:r w:rsidR="00FF5011" w:rsidRPr="00FF5011">
        <w:t>przypowierzchniowym obiegu. Są to: sztuczne zb</w:t>
      </w:r>
      <w:r w:rsidR="00FF5011">
        <w:t>iorniki wodne o pojemności do 5 </w:t>
      </w:r>
      <w:r w:rsidR="00FF5011" w:rsidRPr="00FF5011">
        <w:t>mln metrów sześciennych, stawy rybne, samodzielne budowle piętrzące i ujęcia wody, inne budowle piętrzące wodę lub transportujące wodę.</w:t>
      </w:r>
    </w:p>
    <w:p w14:paraId="2B762752" w14:textId="77777777" w:rsidR="00026264" w:rsidRDefault="00026264" w:rsidP="00026264">
      <w:pPr>
        <w:pStyle w:val="Akapitzlist"/>
        <w:numPr>
          <w:ilvl w:val="0"/>
          <w:numId w:val="3"/>
        </w:numPr>
        <w:spacing w:after="0"/>
        <w:jc w:val="both"/>
      </w:pPr>
      <w:r>
        <w:t>CP3</w:t>
      </w:r>
    </w:p>
    <w:p w14:paraId="20E5F539" w14:textId="7D8DACE9" w:rsidR="00026264" w:rsidRPr="00AE5DDD" w:rsidRDefault="00026264" w:rsidP="00026264">
      <w:pPr>
        <w:pStyle w:val="Akapitzlist"/>
        <w:numPr>
          <w:ilvl w:val="1"/>
          <w:numId w:val="3"/>
        </w:numPr>
        <w:spacing w:after="0"/>
        <w:jc w:val="both"/>
        <w:rPr>
          <w:b/>
        </w:rPr>
      </w:pPr>
      <w:r w:rsidRPr="00AE5DDD">
        <w:rPr>
          <w:b/>
        </w:rPr>
        <w:t xml:space="preserve">WMDT - kolejowy </w:t>
      </w:r>
      <w:r w:rsidR="00216FF6">
        <w:rPr>
          <w:b/>
        </w:rPr>
        <w:t>pasażerski</w:t>
      </w:r>
    </w:p>
    <w:p w14:paraId="30FD5F67" w14:textId="487B94C5" w:rsidR="00026264" w:rsidRDefault="00026264" w:rsidP="00026264">
      <w:pPr>
        <w:spacing w:after="0"/>
        <w:ind w:left="1418"/>
        <w:jc w:val="both"/>
      </w:pPr>
      <w:r>
        <w:t>Wskaźnik Międzygałęziowej Dostępności Transportowej (WDMT) to syntetyczny wskaźnik pokazujący jakość</w:t>
      </w:r>
      <w:r w:rsidR="00216FF6">
        <w:t xml:space="preserve"> </w:t>
      </w:r>
      <w:r>
        <w:t>połączeń transportowych w ujęciu terytorialnym. Obliczany jest na poziomie gmin. Do konstrukcj</w:t>
      </w:r>
      <w:r w:rsidR="00D177B6">
        <w:t xml:space="preserve">i wskaźnika w wariancie pasażerskiego transportu kolejowego wykorzystuje się dostępność i </w:t>
      </w:r>
      <w:r>
        <w:t xml:space="preserve">jakość połączeń </w:t>
      </w:r>
      <w:r w:rsidR="00D177B6">
        <w:t>kolejowych</w:t>
      </w:r>
      <w:r>
        <w:t xml:space="preserve">. Miara jest powszechnie wykorzystywana w dokumentach strategicznych (SOR, </w:t>
      </w:r>
      <w:r w:rsidRPr="00127899">
        <w:t>Strategia Zrównoważonego Rozwoju Transportu do 2030 roku</w:t>
      </w:r>
      <w:r>
        <w:t>, ewaluacja interwencji ze środków polityki spójności).</w:t>
      </w:r>
    </w:p>
    <w:p w14:paraId="0341C824" w14:textId="6DED2790" w:rsidR="00026264" w:rsidRDefault="00216FF6" w:rsidP="00026264">
      <w:pPr>
        <w:pStyle w:val="Akapitzlist"/>
        <w:numPr>
          <w:ilvl w:val="0"/>
          <w:numId w:val="3"/>
        </w:numPr>
        <w:spacing w:after="0"/>
        <w:jc w:val="both"/>
      </w:pPr>
      <w:r>
        <w:br w:type="column"/>
      </w:r>
      <w:r w:rsidR="00026264">
        <w:lastRenderedPageBreak/>
        <w:t>CP4</w:t>
      </w:r>
    </w:p>
    <w:p w14:paraId="0DA7B8C4" w14:textId="3C524F44" w:rsidR="00026264" w:rsidRPr="00AE5DDD" w:rsidRDefault="0076528D" w:rsidP="00026264">
      <w:pPr>
        <w:pStyle w:val="Akapitzlist"/>
        <w:numPr>
          <w:ilvl w:val="1"/>
          <w:numId w:val="3"/>
        </w:numPr>
        <w:spacing w:after="0"/>
        <w:jc w:val="both"/>
        <w:rPr>
          <w:b/>
        </w:rPr>
      </w:pPr>
      <w:r>
        <w:rPr>
          <w:b/>
        </w:rPr>
        <w:t>Stosunek nowo utworzonych miejsc pracy do liczby bezrobotnych aktywnych zawodowo</w:t>
      </w:r>
    </w:p>
    <w:p w14:paraId="7667E6B5" w14:textId="4AB18EA2" w:rsidR="00026264" w:rsidRDefault="00026264" w:rsidP="00026264">
      <w:pPr>
        <w:spacing w:after="0"/>
        <w:ind w:left="1418"/>
        <w:jc w:val="both"/>
      </w:pPr>
      <w:r>
        <w:t xml:space="preserve">Miara ukazująca </w:t>
      </w:r>
      <w:r w:rsidR="0076528D">
        <w:t>stosunek nowopowstałych miejsc pracy w danym regionie do bezrobotnych aktywnie poszukujących pracy</w:t>
      </w:r>
      <w:r>
        <w:t xml:space="preserve">. </w:t>
      </w:r>
      <w:r w:rsidR="0076528D">
        <w:t>Wskaźnik ten pozwala opisać warunki lokalnych rynków pracy.</w:t>
      </w:r>
    </w:p>
    <w:p w14:paraId="7A9B22AF" w14:textId="77777777" w:rsidR="00026264" w:rsidRDefault="00026264" w:rsidP="00026264">
      <w:pPr>
        <w:pStyle w:val="Akapitzlist"/>
        <w:numPr>
          <w:ilvl w:val="0"/>
          <w:numId w:val="3"/>
        </w:numPr>
        <w:spacing w:after="0"/>
        <w:jc w:val="both"/>
      </w:pPr>
      <w:r>
        <w:t>CP5</w:t>
      </w:r>
    </w:p>
    <w:p w14:paraId="1665A734" w14:textId="77777777" w:rsidR="00026264" w:rsidRPr="00AE5DDD" w:rsidRDefault="00026264" w:rsidP="00026264">
      <w:pPr>
        <w:pStyle w:val="Akapitzlist"/>
        <w:numPr>
          <w:ilvl w:val="1"/>
          <w:numId w:val="3"/>
        </w:numPr>
        <w:spacing w:after="0"/>
        <w:jc w:val="both"/>
        <w:rPr>
          <w:b/>
        </w:rPr>
      </w:pPr>
      <w:r w:rsidRPr="00AE5DDD">
        <w:rPr>
          <w:b/>
        </w:rPr>
        <w:t>Organizacje według głównej dziedziny działalności (rozwój lokalny)</w:t>
      </w:r>
    </w:p>
    <w:p w14:paraId="54CC2C10" w14:textId="77777777" w:rsidR="00026264" w:rsidRDefault="00026264" w:rsidP="00026264">
      <w:pPr>
        <w:spacing w:after="0"/>
        <w:ind w:left="1418"/>
        <w:jc w:val="both"/>
      </w:pPr>
      <w:r>
        <w:t xml:space="preserve">Liczba organizacji pozarządowych (zarówno zarejestrowanych w KRS, jak również podmiotów bez formy prawnej) jest miarą aktywności społecznej. </w:t>
      </w:r>
    </w:p>
    <w:p w14:paraId="37C3482A" w14:textId="77777777" w:rsidR="00026264" w:rsidRDefault="00026264" w:rsidP="00026264">
      <w:pPr>
        <w:spacing w:after="0"/>
        <w:ind w:left="1418"/>
        <w:jc w:val="both"/>
      </w:pPr>
    </w:p>
    <w:tbl>
      <w:tblPr>
        <w:tblStyle w:val="Jasnalistaakcent11"/>
        <w:tblW w:w="801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447"/>
      </w:tblGrid>
      <w:tr w:rsidR="00AF732C" w:rsidRPr="00F40D2A" w14:paraId="1A0021CB" w14:textId="77777777" w:rsidTr="00824F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8" w:space="0" w:color="5B9BD5" w:themeColor="accent1"/>
              <w:right w:val="single" w:sz="8" w:space="0" w:color="FFFFFF" w:themeColor="background1"/>
            </w:tcBorders>
          </w:tcPr>
          <w:p w14:paraId="628E62A8" w14:textId="77777777" w:rsidR="00AF732C" w:rsidRPr="00F40D2A" w:rsidRDefault="00AF732C" w:rsidP="00F40D2A">
            <w:pPr>
              <w:jc w:val="center"/>
              <w:rPr>
                <w:rFonts w:ascii="Calibri" w:eastAsia="Calibri" w:hAnsi="Calibri" w:cs="Times New Roman"/>
              </w:rPr>
            </w:pPr>
            <w:r w:rsidRPr="00F40D2A">
              <w:rPr>
                <w:rFonts w:ascii="Calibri" w:eastAsia="Calibri" w:hAnsi="Calibri" w:cs="Times New Roman"/>
              </w:rPr>
              <w:br w:type="column"/>
            </w:r>
          </w:p>
        </w:tc>
        <w:tc>
          <w:tcPr>
            <w:tcW w:w="7447" w:type="dxa"/>
            <w:tcBorders>
              <w:top w:val="single" w:sz="8" w:space="0" w:color="5B9BD5" w:themeColor="accent1"/>
              <w:left w:val="single" w:sz="8" w:space="0" w:color="FFFFFF" w:themeColor="background1"/>
              <w:bottom w:val="single" w:sz="8" w:space="0" w:color="5B9BD5" w:themeColor="accent1"/>
            </w:tcBorders>
          </w:tcPr>
          <w:p w14:paraId="3ED8B0B7" w14:textId="2EAC2A0F" w:rsidR="00AF732C" w:rsidRPr="00F40D2A" w:rsidRDefault="00AF732C" w:rsidP="00F40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Zestawienie wskaźników</w:t>
            </w:r>
          </w:p>
        </w:tc>
      </w:tr>
      <w:tr w:rsidR="00AF732C" w:rsidRPr="00F40D2A" w14:paraId="188683A5" w14:textId="77777777" w:rsidTr="00824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right w:val="single" w:sz="8" w:space="0" w:color="5B9BD5" w:themeColor="accent1"/>
            </w:tcBorders>
          </w:tcPr>
          <w:p w14:paraId="121D1CE6" w14:textId="77777777" w:rsidR="00AF732C" w:rsidRPr="00F40D2A" w:rsidRDefault="00AF732C" w:rsidP="00F40D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47" w:type="dxa"/>
            <w:tcBorders>
              <w:left w:val="single" w:sz="8" w:space="0" w:color="5B9BD5" w:themeColor="accent1"/>
            </w:tcBorders>
            <w:shd w:val="clear" w:color="auto" w:fill="A8D08D" w:themeFill="accent6" w:themeFillTint="99"/>
          </w:tcPr>
          <w:p w14:paraId="01EA6738" w14:textId="483E475C" w:rsidR="00AF732C" w:rsidRPr="00F40D2A" w:rsidRDefault="00AF732C" w:rsidP="00F40D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18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</w:rPr>
              <w:t>Ludność</w:t>
            </w:r>
          </w:p>
        </w:tc>
      </w:tr>
      <w:tr w:rsidR="00AF732C" w:rsidRPr="00F40D2A" w14:paraId="39D1C44E" w14:textId="77777777" w:rsidTr="00824F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right w:val="single" w:sz="8" w:space="0" w:color="5B9BD5" w:themeColor="accent1"/>
            </w:tcBorders>
          </w:tcPr>
          <w:p w14:paraId="7B75228A" w14:textId="77777777" w:rsidR="00AF732C" w:rsidRPr="00F40D2A" w:rsidRDefault="00AF732C" w:rsidP="00F40D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47" w:type="dxa"/>
            <w:tcBorders>
              <w:left w:val="single" w:sz="8" w:space="0" w:color="5B9BD5" w:themeColor="accent1"/>
            </w:tcBorders>
            <w:shd w:val="clear" w:color="auto" w:fill="DC9696"/>
          </w:tcPr>
          <w:p w14:paraId="57BAF18E" w14:textId="1DD64051" w:rsidR="00AF732C" w:rsidRPr="00F40D2A" w:rsidRDefault="00AF732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F40D2A">
              <w:rPr>
                <w:rFonts w:ascii="Calibri" w:eastAsia="Calibri" w:hAnsi="Calibri" w:cs="Times New Roman"/>
                <w:sz w:val="20"/>
                <w:szCs w:val="18"/>
              </w:rPr>
              <w:t>PKB per capita</w:t>
            </w:r>
            <w:r w:rsidRPr="00F40D2A" w:rsidDel="00AF732C">
              <w:rPr>
                <w:rFonts w:ascii="Calibri" w:eastAsia="Calibri" w:hAnsi="Calibri" w:cs="Times New Roman"/>
                <w:sz w:val="20"/>
                <w:szCs w:val="18"/>
              </w:rPr>
              <w:t xml:space="preserve"> </w:t>
            </w:r>
          </w:p>
        </w:tc>
      </w:tr>
      <w:tr w:rsidR="00AF732C" w:rsidRPr="00F40D2A" w14:paraId="6A6D46EF" w14:textId="77777777" w:rsidTr="00824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8" w:space="0" w:color="5B9BD5" w:themeColor="accent1"/>
            </w:tcBorders>
          </w:tcPr>
          <w:p w14:paraId="3F64B782" w14:textId="77777777" w:rsidR="00AF732C" w:rsidRPr="00F40D2A" w:rsidRDefault="00AF732C" w:rsidP="00F40D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40D2A">
              <w:rPr>
                <w:rFonts w:ascii="Calibri" w:eastAsia="Calibri" w:hAnsi="Calibri" w:cs="Times New Roman"/>
                <w:sz w:val="18"/>
                <w:szCs w:val="18"/>
              </w:rPr>
              <w:t>CP1</w:t>
            </w:r>
          </w:p>
        </w:tc>
        <w:tc>
          <w:tcPr>
            <w:tcW w:w="7447" w:type="dxa"/>
            <w:tcBorders>
              <w:left w:val="single" w:sz="8" w:space="0" w:color="5B9BD5" w:themeColor="accent1"/>
            </w:tcBorders>
            <w:shd w:val="clear" w:color="auto" w:fill="DC9696"/>
          </w:tcPr>
          <w:p w14:paraId="15E0C188" w14:textId="02FB14AC" w:rsidR="00AF732C" w:rsidRPr="00F40D2A" w:rsidRDefault="00AF73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18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</w:rPr>
              <w:t>U</w:t>
            </w:r>
            <w:r w:rsidRPr="00AF732C">
              <w:rPr>
                <w:rFonts w:ascii="Calibri" w:eastAsia="Calibri" w:hAnsi="Calibri" w:cs="Times New Roman"/>
                <w:sz w:val="20"/>
                <w:szCs w:val="18"/>
              </w:rPr>
              <w:t>dział osób pracujących w B+R w pracujących ogółem</w:t>
            </w:r>
          </w:p>
        </w:tc>
      </w:tr>
      <w:tr w:rsidR="00AF732C" w:rsidRPr="00F40D2A" w14:paraId="16585CE5" w14:textId="77777777" w:rsidTr="00824F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8" w:space="0" w:color="5B9BD5" w:themeColor="accent1"/>
            </w:tcBorders>
          </w:tcPr>
          <w:p w14:paraId="7D47386E" w14:textId="77777777" w:rsidR="00AF732C" w:rsidRPr="00F40D2A" w:rsidRDefault="00AF732C" w:rsidP="00F40D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40D2A">
              <w:rPr>
                <w:rFonts w:ascii="Calibri" w:eastAsia="Calibri" w:hAnsi="Calibri" w:cs="Times New Roman"/>
                <w:sz w:val="18"/>
                <w:szCs w:val="18"/>
              </w:rPr>
              <w:t>CP2</w:t>
            </w:r>
          </w:p>
        </w:tc>
        <w:tc>
          <w:tcPr>
            <w:tcW w:w="7447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shd w:val="clear" w:color="auto" w:fill="DC9696"/>
            <w:vAlign w:val="center"/>
          </w:tcPr>
          <w:p w14:paraId="0D51CDFF" w14:textId="5FE3C582" w:rsidR="00AF732C" w:rsidRPr="00F40D2A" w:rsidRDefault="00AF732C" w:rsidP="00824F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F40D2A">
              <w:rPr>
                <w:rFonts w:ascii="Calibri" w:eastAsia="Calibri" w:hAnsi="Calibri" w:cs="Times New Roman"/>
                <w:sz w:val="20"/>
                <w:szCs w:val="18"/>
              </w:rPr>
              <w:t>Mała retencja wodna ogółem</w:t>
            </w:r>
          </w:p>
        </w:tc>
      </w:tr>
      <w:tr w:rsidR="00AF732C" w:rsidRPr="00F40D2A" w14:paraId="725810BF" w14:textId="77777777" w:rsidTr="00824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8" w:space="0" w:color="5B9BD5" w:themeColor="accent1"/>
            </w:tcBorders>
          </w:tcPr>
          <w:p w14:paraId="56F08BF1" w14:textId="77777777" w:rsidR="00AF732C" w:rsidRPr="00F40D2A" w:rsidRDefault="00AF732C" w:rsidP="00F40D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40D2A">
              <w:rPr>
                <w:rFonts w:ascii="Calibri" w:eastAsia="Calibri" w:hAnsi="Calibri" w:cs="Times New Roman"/>
                <w:sz w:val="18"/>
                <w:szCs w:val="18"/>
              </w:rPr>
              <w:t>CP3</w:t>
            </w:r>
          </w:p>
        </w:tc>
        <w:tc>
          <w:tcPr>
            <w:tcW w:w="7447" w:type="dxa"/>
            <w:tcBorders>
              <w:left w:val="single" w:sz="8" w:space="0" w:color="5B9BD5" w:themeColor="accent1"/>
            </w:tcBorders>
            <w:shd w:val="clear" w:color="auto" w:fill="DC9696"/>
            <w:vAlign w:val="center"/>
          </w:tcPr>
          <w:p w14:paraId="4E7ED256" w14:textId="132BE4CB" w:rsidR="00AF732C" w:rsidRPr="00F40D2A" w:rsidRDefault="00AF732C" w:rsidP="00216F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F40D2A">
              <w:rPr>
                <w:rFonts w:ascii="Calibri" w:eastAsia="Calibri" w:hAnsi="Calibri" w:cs="Times New Roman"/>
                <w:sz w:val="20"/>
                <w:szCs w:val="18"/>
              </w:rPr>
              <w:t xml:space="preserve">WMDT: </w:t>
            </w:r>
            <w:r w:rsidRPr="00E2545F">
              <w:rPr>
                <w:rFonts w:ascii="Calibri" w:eastAsia="Calibri" w:hAnsi="Calibri" w:cs="Times New Roman"/>
                <w:sz w:val="20"/>
                <w:szCs w:val="18"/>
              </w:rPr>
              <w:t xml:space="preserve">kolejowy </w:t>
            </w:r>
            <w:r w:rsidR="00216FF6">
              <w:rPr>
                <w:rFonts w:ascii="Calibri" w:eastAsia="Calibri" w:hAnsi="Calibri" w:cs="Times New Roman"/>
                <w:sz w:val="20"/>
                <w:szCs w:val="18"/>
              </w:rPr>
              <w:t>pasażerski</w:t>
            </w:r>
          </w:p>
        </w:tc>
      </w:tr>
      <w:tr w:rsidR="00AF732C" w:rsidRPr="00F40D2A" w14:paraId="0F7E7A56" w14:textId="77777777" w:rsidTr="00824F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8" w:space="0" w:color="5B9BD5" w:themeColor="accent1"/>
            </w:tcBorders>
          </w:tcPr>
          <w:p w14:paraId="3787519E" w14:textId="77777777" w:rsidR="00AF732C" w:rsidRPr="00F40D2A" w:rsidRDefault="00AF732C" w:rsidP="00F40D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40D2A">
              <w:rPr>
                <w:rFonts w:ascii="Calibri" w:eastAsia="Calibri" w:hAnsi="Calibri" w:cs="Times New Roman"/>
                <w:sz w:val="18"/>
                <w:szCs w:val="18"/>
              </w:rPr>
              <w:t>CP4</w:t>
            </w:r>
          </w:p>
        </w:tc>
        <w:tc>
          <w:tcPr>
            <w:tcW w:w="7447" w:type="dxa"/>
            <w:tcBorders>
              <w:left w:val="single" w:sz="8" w:space="0" w:color="5B9BD5" w:themeColor="accent1"/>
            </w:tcBorders>
            <w:shd w:val="clear" w:color="auto" w:fill="DC9696"/>
            <w:vAlign w:val="center"/>
          </w:tcPr>
          <w:p w14:paraId="53341109" w14:textId="3F6E261D" w:rsidR="00AF732C" w:rsidRPr="00F40D2A" w:rsidRDefault="00AF732C" w:rsidP="00824F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AF732C">
              <w:rPr>
                <w:rFonts w:ascii="Calibri" w:eastAsia="Calibri" w:hAnsi="Calibri" w:cs="Times New Roman"/>
                <w:sz w:val="20"/>
                <w:szCs w:val="18"/>
              </w:rPr>
              <w:t>Stosunek nowo utworzonych miejsc pracy do liczby bezrobotnych aktywnych zawodowo</w:t>
            </w:r>
          </w:p>
        </w:tc>
      </w:tr>
      <w:tr w:rsidR="00AF732C" w:rsidRPr="00F40D2A" w14:paraId="609293B5" w14:textId="77777777" w:rsidTr="00824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auto"/>
              <w:right w:val="single" w:sz="8" w:space="0" w:color="5B9BD5" w:themeColor="accent1"/>
            </w:tcBorders>
          </w:tcPr>
          <w:p w14:paraId="0227F695" w14:textId="77777777" w:rsidR="00AF732C" w:rsidRPr="00F40D2A" w:rsidRDefault="00AF732C" w:rsidP="00F40D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40D2A">
              <w:rPr>
                <w:rFonts w:ascii="Calibri" w:eastAsia="Calibri" w:hAnsi="Calibri" w:cs="Times New Roman"/>
                <w:sz w:val="18"/>
                <w:szCs w:val="18"/>
              </w:rPr>
              <w:t>CP5</w:t>
            </w:r>
          </w:p>
        </w:tc>
        <w:tc>
          <w:tcPr>
            <w:tcW w:w="7447" w:type="dxa"/>
            <w:tcBorders>
              <w:left w:val="single" w:sz="8" w:space="0" w:color="5B9BD5" w:themeColor="accent1"/>
              <w:bottom w:val="single" w:sz="4" w:space="0" w:color="auto"/>
            </w:tcBorders>
            <w:shd w:val="clear" w:color="auto" w:fill="DC9696"/>
            <w:vAlign w:val="center"/>
          </w:tcPr>
          <w:p w14:paraId="6824A31E" w14:textId="6C334FA8" w:rsidR="00AF732C" w:rsidRPr="00F40D2A" w:rsidRDefault="00AF732C" w:rsidP="00824F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F40D2A">
              <w:rPr>
                <w:rFonts w:ascii="Calibri" w:eastAsia="Calibri" w:hAnsi="Calibri" w:cs="Times New Roman"/>
                <w:sz w:val="20"/>
                <w:szCs w:val="18"/>
              </w:rPr>
              <w:t>Organizacje według głównej dziedziny działalności (rozwój lokalny)</w:t>
            </w:r>
            <w:r>
              <w:rPr>
                <w:rStyle w:val="Odwoanieprzypisudolnego"/>
                <w:rFonts w:ascii="Calibri" w:eastAsia="Calibri" w:hAnsi="Calibri" w:cs="Times New Roman"/>
                <w:sz w:val="20"/>
                <w:szCs w:val="18"/>
              </w:rPr>
              <w:footnoteReference w:id="5"/>
            </w:r>
          </w:p>
        </w:tc>
      </w:tr>
    </w:tbl>
    <w:p w14:paraId="449FECDE" w14:textId="77777777" w:rsidR="00F40D2A" w:rsidRDefault="00F40D2A" w:rsidP="00576464">
      <w:pPr>
        <w:spacing w:before="240"/>
        <w:rPr>
          <w:rFonts w:ascii="Calibri" w:eastAsia="Calibri" w:hAnsi="Calibri" w:cs="Times New Roman"/>
        </w:rPr>
      </w:pPr>
      <w:r w:rsidRPr="00576464">
        <w:rPr>
          <w:rFonts w:ascii="Calibri" w:eastAsia="Calibri" w:hAnsi="Calibri" w:cs="Times New Roman"/>
          <w:b/>
        </w:rPr>
        <w:t>LEGENDA:</w:t>
      </w:r>
    </w:p>
    <w:p w14:paraId="209CDD7A" w14:textId="5A012081" w:rsidR="00F40D2A" w:rsidRPr="00576464" w:rsidRDefault="00F40D2A" w:rsidP="008D04F5">
      <w:pPr>
        <w:spacing w:before="240"/>
        <w:jc w:val="both"/>
        <w:rPr>
          <w:rFonts w:ascii="Calibri" w:eastAsia="Calibri" w:hAnsi="Calibri" w:cs="Times New Roman"/>
          <w:i/>
        </w:rPr>
      </w:pPr>
      <w:r w:rsidRPr="00576464">
        <w:rPr>
          <w:rFonts w:ascii="Calibri" w:eastAsia="Calibri" w:hAnsi="Calibri" w:cs="Times New Roman"/>
          <w:i/>
          <w:shd w:val="clear" w:color="auto" w:fill="A8D08D" w:themeFill="accent6" w:themeFillTint="99"/>
        </w:rPr>
        <w:t>K</w:t>
      </w:r>
      <w:r w:rsidRPr="00576464">
        <w:rPr>
          <w:rFonts w:ascii="Calibri" w:eastAsia="Calibri" w:hAnsi="Calibri" w:cs="Times New Roman"/>
          <w:i/>
          <w:shd w:val="clear" w:color="auto" w:fill="C2D69B"/>
        </w:rPr>
        <w:t>olorem zielonym zaznaczono stymulanty</w:t>
      </w:r>
      <w:r w:rsidRPr="00576464">
        <w:rPr>
          <w:rFonts w:ascii="Calibri" w:eastAsia="Calibri" w:hAnsi="Calibri" w:cs="Times New Roman"/>
          <w:i/>
        </w:rPr>
        <w:t xml:space="preserve"> – im wyższy poziom wskaźnika tym więcej punktów przydziela algorytm, a co za tym idzie większe środki trafiają do regionu.</w:t>
      </w:r>
    </w:p>
    <w:p w14:paraId="3CE94D0A" w14:textId="77777777" w:rsidR="00F40D2A" w:rsidRPr="00576464" w:rsidRDefault="00F40D2A" w:rsidP="008D04F5">
      <w:pPr>
        <w:jc w:val="both"/>
        <w:rPr>
          <w:rFonts w:ascii="Calibri" w:eastAsia="Calibri" w:hAnsi="Calibri" w:cs="Times New Roman"/>
          <w:i/>
        </w:rPr>
      </w:pPr>
      <w:r w:rsidRPr="00576464">
        <w:rPr>
          <w:rFonts w:ascii="Calibri" w:eastAsia="Calibri" w:hAnsi="Calibri" w:cs="Times New Roman"/>
          <w:i/>
          <w:shd w:val="clear" w:color="auto" w:fill="D99594"/>
        </w:rPr>
        <w:t>Kolorem czerwonym zaznaczono destymulanty</w:t>
      </w:r>
      <w:r w:rsidRPr="00576464">
        <w:rPr>
          <w:rFonts w:ascii="Calibri" w:eastAsia="Calibri" w:hAnsi="Calibri" w:cs="Times New Roman"/>
          <w:i/>
        </w:rPr>
        <w:t xml:space="preserve"> – im niższy poziom wskaźnika tym więcej punktów przydziela algorytm, a co za tym idzie większe środki trafiają do regionu.</w:t>
      </w:r>
    </w:p>
    <w:p w14:paraId="5D3D498E" w14:textId="77777777" w:rsidR="00F40D2A" w:rsidRPr="00F40D2A" w:rsidRDefault="00F40D2A" w:rsidP="008D04F5">
      <w:pPr>
        <w:jc w:val="both"/>
        <w:rPr>
          <w:rFonts w:ascii="Calibri" w:eastAsia="Calibri" w:hAnsi="Calibri" w:cs="Times New Roman"/>
        </w:rPr>
      </w:pPr>
      <w:r w:rsidRPr="00F40D2A">
        <w:rPr>
          <w:rFonts w:ascii="Calibri" w:eastAsia="Calibri" w:hAnsi="Calibri" w:cs="Times New Roman"/>
        </w:rPr>
        <w:t>Taki układ wskaźników pozwala najlepiej oddać potrzeby inwestycyjne regionów, biorąc także pod uwagę ich wielkość (pod względem liczby ludności) oraz poziom rozwoju.</w:t>
      </w:r>
    </w:p>
    <w:p w14:paraId="19052FBA" w14:textId="77777777" w:rsidR="00026264" w:rsidRDefault="00026264" w:rsidP="008D04F5">
      <w:pPr>
        <w:spacing w:after="0"/>
        <w:jc w:val="both"/>
      </w:pPr>
    </w:p>
    <w:p w14:paraId="09088A77" w14:textId="77777777" w:rsidR="00026264" w:rsidRPr="00771497" w:rsidRDefault="00026264" w:rsidP="00026264">
      <w:pPr>
        <w:spacing w:before="240"/>
        <w:jc w:val="both"/>
        <w:sectPr w:rsidR="00026264" w:rsidRPr="00771497" w:rsidSect="006525D2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94FB7A3" w14:textId="09462FE1" w:rsidR="00026264" w:rsidRPr="0087091C" w:rsidRDefault="00026264" w:rsidP="00A15CA2">
      <w:pPr>
        <w:spacing w:before="240"/>
        <w:rPr>
          <w:sz w:val="28"/>
          <w:szCs w:val="28"/>
        </w:rPr>
      </w:pPr>
      <w:r w:rsidRPr="0087091C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lastRenderedPageBreak/>
        <w:t>Zestawienie kwot dla poszczególnych regionów w ramach RP</w:t>
      </w:r>
      <w:r w:rsidR="00AF732C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 xml:space="preserve">, </w:t>
      </w:r>
      <w:r w:rsidRPr="0087091C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>FST</w:t>
      </w:r>
      <w:r w:rsidR="00AF732C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 xml:space="preserve">, </w:t>
      </w:r>
      <w:r w:rsidRPr="0087091C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>oraz PW</w:t>
      </w:r>
    </w:p>
    <w:p w14:paraId="7244B490" w14:textId="1901706C" w:rsidR="00026264" w:rsidRDefault="00026264" w:rsidP="00026264">
      <w:pPr>
        <w:jc w:val="both"/>
      </w:pPr>
      <w:r w:rsidRPr="00771497">
        <w:t xml:space="preserve">W poniższych tabelach przedstawiono </w:t>
      </w:r>
      <w:r w:rsidRPr="00980BF7">
        <w:rPr>
          <w:b/>
        </w:rPr>
        <w:t>wyniki uzyskane po zastosowaniu algorytmu</w:t>
      </w:r>
      <w:r w:rsidR="00AF732C">
        <w:rPr>
          <w:b/>
        </w:rPr>
        <w:t xml:space="preserve">, </w:t>
      </w:r>
      <w:r w:rsidR="00131375">
        <w:rPr>
          <w:b/>
        </w:rPr>
        <w:t>który wybrano, aby</w:t>
      </w:r>
      <w:r w:rsidRPr="00980BF7">
        <w:rPr>
          <w:b/>
        </w:rPr>
        <w:t xml:space="preserve"> najlepiej </w:t>
      </w:r>
      <w:r w:rsidR="00AF732C">
        <w:rPr>
          <w:b/>
        </w:rPr>
        <w:t>oddać</w:t>
      </w:r>
      <w:r w:rsidR="00AF732C" w:rsidRPr="00980BF7">
        <w:rPr>
          <w:b/>
        </w:rPr>
        <w:t xml:space="preserve"> </w:t>
      </w:r>
      <w:r w:rsidRPr="00980BF7">
        <w:rPr>
          <w:b/>
        </w:rPr>
        <w:t>warunki społeczno-gospodarcze regionów zarówno z punktu widzenia potrzeb inwestycyjnych, jak i możliwości absorpcji środków</w:t>
      </w:r>
      <w:r>
        <w:t>. Dodatkowo</w:t>
      </w:r>
      <w:r w:rsidRPr="00771497">
        <w:t xml:space="preserve"> pokazano </w:t>
      </w:r>
      <w:r>
        <w:t>kwoty przyznawane regionom w ram</w:t>
      </w:r>
      <w:r w:rsidR="00390057">
        <w:t>ach FST (</w:t>
      </w:r>
      <w:r w:rsidR="00AF732C">
        <w:t>na podstawie</w:t>
      </w:r>
      <w:r w:rsidR="00390057">
        <w:t xml:space="preserve"> metodologii </w:t>
      </w:r>
      <w:r>
        <w:t>podziału zaproponowanej przez DSR</w:t>
      </w:r>
      <w:r>
        <w:rPr>
          <w:rStyle w:val="Odwoanieprzypisudolnego"/>
        </w:rPr>
        <w:footnoteReference w:id="6"/>
      </w:r>
      <w:r>
        <w:t>) oraz kwoty przyznane w ramach Programu Polska Wschodnia</w:t>
      </w:r>
      <w:r w:rsidR="000D0F79">
        <w:t xml:space="preserve"> (równy podział alokacji programu na regiony)</w:t>
      </w:r>
      <w:r>
        <w:t xml:space="preserve">. Dla porównania </w:t>
      </w:r>
      <w:r w:rsidR="000D0F79">
        <w:t>zaprezentowano</w:t>
      </w:r>
      <w:r>
        <w:t xml:space="preserve"> </w:t>
      </w:r>
      <w:r w:rsidRPr="00771497">
        <w:t>przyzn</w:t>
      </w:r>
      <w:r w:rsidR="00C92211">
        <w:t xml:space="preserve">ane w obecnej </w:t>
      </w:r>
      <w:r w:rsidRPr="00771497">
        <w:t>perspektywie kwoty</w:t>
      </w:r>
      <w:r>
        <w:rPr>
          <w:rStyle w:val="Odwoanieprzypisudolnego"/>
        </w:rPr>
        <w:footnoteReference w:id="7"/>
      </w:r>
      <w:r>
        <w:t xml:space="preserve"> uwzględniające ówczesne RPO oraz Program Polska Wschodnia</w:t>
      </w:r>
      <w:r w:rsidRPr="00771497">
        <w:t>, zarówno</w:t>
      </w:r>
      <w:r>
        <w:t xml:space="preserve"> w ujęciu procentowym,</w:t>
      </w:r>
      <w:r w:rsidRPr="00771497">
        <w:t xml:space="preserve"> nominaln</w:t>
      </w:r>
      <w:r>
        <w:t>ym, jak i </w:t>
      </w:r>
      <w:r w:rsidRPr="00771497">
        <w:t>w</w:t>
      </w:r>
      <w:r>
        <w:t> </w:t>
      </w:r>
      <w:r w:rsidRPr="00771497">
        <w:t>przeliczeniu n</w:t>
      </w:r>
      <w:r>
        <w:t xml:space="preserve">a mieszkańca. </w:t>
      </w:r>
    </w:p>
    <w:p w14:paraId="50CFFC09" w14:textId="77777777" w:rsidR="00026264" w:rsidRPr="00B262BE" w:rsidRDefault="00C92211" w:rsidP="00B262BE">
      <w:pPr>
        <w:rPr>
          <w:rFonts w:asciiTheme="majorHAnsi" w:hAnsiTheme="majorHAnsi" w:cstheme="majorHAnsi"/>
          <w:color w:val="0070C0"/>
          <w:sz w:val="24"/>
        </w:rPr>
      </w:pPr>
      <w:r w:rsidRPr="00B262BE">
        <w:rPr>
          <w:rFonts w:asciiTheme="majorHAnsi" w:hAnsiTheme="majorHAnsi" w:cstheme="majorHAnsi"/>
          <w:color w:val="0070C0"/>
          <w:sz w:val="24"/>
        </w:rPr>
        <w:t>Procentowy udział RP</w:t>
      </w:r>
      <w:r w:rsidR="00026264" w:rsidRPr="00B262BE">
        <w:rPr>
          <w:rFonts w:asciiTheme="majorHAnsi" w:hAnsiTheme="majorHAnsi" w:cstheme="majorHAnsi"/>
          <w:color w:val="0070C0"/>
          <w:sz w:val="24"/>
        </w:rPr>
        <w:t>, FST oraz PW w sumie środków dla poszczególnych regionów – porównanie prop</w:t>
      </w:r>
      <w:r w:rsidRPr="00B262BE">
        <w:rPr>
          <w:rFonts w:asciiTheme="majorHAnsi" w:hAnsiTheme="majorHAnsi" w:cstheme="majorHAnsi"/>
          <w:color w:val="0070C0"/>
          <w:sz w:val="24"/>
        </w:rPr>
        <w:t>ozycji przyszłej oraz obecnej</w:t>
      </w:r>
      <w:r w:rsidR="00026264" w:rsidRPr="00B262BE">
        <w:rPr>
          <w:rFonts w:asciiTheme="majorHAnsi" w:hAnsiTheme="majorHAnsi" w:cstheme="majorHAnsi"/>
          <w:color w:val="0070C0"/>
          <w:sz w:val="24"/>
        </w:rPr>
        <w:t xml:space="preserve"> perspektywy</w:t>
      </w:r>
    </w:p>
    <w:bookmarkStart w:id="4" w:name="_MON_1661608195"/>
    <w:bookmarkEnd w:id="4"/>
    <w:p w14:paraId="5604CBB2" w14:textId="064E5FA7" w:rsidR="00026264" w:rsidRDefault="00131375" w:rsidP="00026264">
      <w:pPr>
        <w:spacing w:after="0" w:line="240" w:lineRule="auto"/>
        <w:jc w:val="both"/>
      </w:pPr>
      <w:r w:rsidRPr="007F5381">
        <w:object w:dxaOrig="14120" w:dyaOrig="5310" w14:anchorId="759296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.1pt;height:259.4pt" o:ole="">
            <v:imagedata r:id="rId15" o:title=""/>
          </v:shape>
          <o:OLEObject Type="Embed" ProgID="Excel.Sheet.12" ShapeID="_x0000_i1025" DrawAspect="Content" ObjectID="_1666518687" r:id="rId16"/>
        </w:object>
      </w:r>
    </w:p>
    <w:p w14:paraId="1107511F" w14:textId="77777777" w:rsidR="00026264" w:rsidRPr="00390057" w:rsidRDefault="00390057" w:rsidP="00026264">
      <w:pPr>
        <w:jc w:val="both"/>
        <w:rPr>
          <w:i/>
          <w:sz w:val="20"/>
        </w:rPr>
      </w:pPr>
      <w:r w:rsidRPr="00390057">
        <w:rPr>
          <w:i/>
          <w:sz w:val="20"/>
        </w:rPr>
        <w:t>* - Pasek wg innej skali</w:t>
      </w:r>
    </w:p>
    <w:p w14:paraId="60BFC37D" w14:textId="77777777" w:rsidR="00026264" w:rsidRDefault="00026264" w:rsidP="00390057">
      <w:pPr>
        <w:spacing w:after="0" w:line="240" w:lineRule="auto"/>
        <w:sectPr w:rsidR="00026264" w:rsidSect="00166D05">
          <w:headerReference w:type="even" r:id="rId17"/>
          <w:headerReference w:type="default" r:id="rId18"/>
          <w:headerReference w:type="first" r:id="rId19"/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E25EE8D" w14:textId="1CCE0DEE" w:rsidR="00026264" w:rsidRPr="00B262BE" w:rsidRDefault="00026264" w:rsidP="001A4FB7">
      <w:pPr>
        <w:jc w:val="both"/>
        <w:rPr>
          <w:rFonts w:asciiTheme="majorHAnsi" w:hAnsiTheme="majorHAnsi" w:cstheme="majorHAnsi"/>
          <w:color w:val="0070C0"/>
          <w:sz w:val="24"/>
        </w:rPr>
      </w:pPr>
      <w:r>
        <w:br w:type="column"/>
      </w:r>
      <w:r w:rsidRPr="00B262BE">
        <w:rPr>
          <w:rFonts w:asciiTheme="majorHAnsi" w:hAnsiTheme="majorHAnsi" w:cstheme="majorHAnsi"/>
          <w:color w:val="0070C0"/>
          <w:sz w:val="24"/>
        </w:rPr>
        <w:lastRenderedPageBreak/>
        <w:t>Kwotowy podział środków na RP, FST i PW (w mln euro) – porównanie propozycji przyszłej oraz obecnej perspektywy</w:t>
      </w:r>
      <w:r w:rsidR="00B262BE">
        <w:rPr>
          <w:rStyle w:val="Odwoanieprzypisudolnego"/>
          <w:rFonts w:asciiTheme="majorHAnsi" w:hAnsiTheme="majorHAnsi" w:cstheme="majorHAnsi"/>
          <w:color w:val="0070C0"/>
          <w:sz w:val="24"/>
        </w:rPr>
        <w:footnoteReference w:id="8"/>
      </w:r>
    </w:p>
    <w:bookmarkStart w:id="5" w:name="_MON_1661608932"/>
    <w:bookmarkEnd w:id="5"/>
    <w:p w14:paraId="003D5A36" w14:textId="04F6F442" w:rsidR="00026264" w:rsidRDefault="00131375" w:rsidP="00026264">
      <w:pPr>
        <w:jc w:val="both"/>
      </w:pPr>
      <w:r w:rsidRPr="007F5381">
        <w:object w:dxaOrig="14192" w:dyaOrig="5557" w14:anchorId="13A9017E">
          <v:shape id="_x0000_i1026" type="#_x0000_t75" style="width:591.8pt;height:273.7pt" o:ole="">
            <v:imagedata r:id="rId20" o:title=""/>
          </v:shape>
          <o:OLEObject Type="Embed" ProgID="Excel.Sheet.12" ShapeID="_x0000_i1026" DrawAspect="Content" ObjectID="_1666518688" r:id="rId21"/>
        </w:object>
      </w:r>
    </w:p>
    <w:p w14:paraId="4CBA8BEE" w14:textId="30DE5430" w:rsidR="00026264" w:rsidRPr="00192DAE" w:rsidRDefault="00216FF6" w:rsidP="00192DAE">
      <w:pPr>
        <w:pStyle w:val="NormalnyWeb"/>
        <w:kinsoku w:val="0"/>
        <w:overflowPunct w:val="0"/>
        <w:spacing w:after="0"/>
        <w:textAlignment w:val="baseline"/>
        <w:rPr>
          <w:rFonts w:asciiTheme="majorHAnsi" w:hAnsiTheme="majorHAnsi" w:cstheme="majorHAnsi"/>
          <w:color w:val="0070C0"/>
          <w:szCs w:val="22"/>
        </w:rPr>
        <w:sectPr w:rsidR="00026264" w:rsidRPr="00192DAE" w:rsidSect="00FE5649">
          <w:type w:val="continuous"/>
          <w:pgSz w:w="16838" w:h="11906" w:orient="landscape"/>
          <w:pgMar w:top="1418" w:right="1418" w:bottom="1418" w:left="1418" w:header="624" w:footer="624" w:gutter="0"/>
          <w:cols w:space="708"/>
          <w:docGrid w:linePitch="360"/>
        </w:sectPr>
      </w:pPr>
      <w:r>
        <w:br w:type="column"/>
      </w:r>
      <w:r w:rsidR="00192DAE" w:rsidRPr="00192DAE">
        <w:rPr>
          <w:rFonts w:asciiTheme="majorHAnsi" w:hAnsiTheme="majorHAnsi" w:cstheme="majorHAnsi"/>
          <w:color w:val="0070C0"/>
          <w:szCs w:val="22"/>
        </w:rPr>
        <w:lastRenderedPageBreak/>
        <w:t>Podział alokacji w Programach Regionalnych</w:t>
      </w:r>
    </w:p>
    <w:p w14:paraId="2B96F9C9" w14:textId="0706C436" w:rsidR="00026264" w:rsidRPr="00B262BE" w:rsidRDefault="007C4E8A" w:rsidP="00B262BE">
      <w:pPr>
        <w:rPr>
          <w:rFonts w:asciiTheme="majorHAnsi" w:hAnsiTheme="majorHAnsi" w:cstheme="majorHAnsi"/>
          <w:color w:val="0070C0"/>
          <w:sz w:val="24"/>
        </w:rPr>
      </w:pPr>
      <w:r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9A372A" wp14:editId="6AB87EFC">
                <wp:simplePos x="0" y="0"/>
                <wp:positionH relativeFrom="column">
                  <wp:posOffset>1129030</wp:posOffset>
                </wp:positionH>
                <wp:positionV relativeFrom="paragraph">
                  <wp:posOffset>3647440</wp:posOffset>
                </wp:positionV>
                <wp:extent cx="503555" cy="197485"/>
                <wp:effectExtent l="0" t="0" r="10795" b="12065"/>
                <wp:wrapNone/>
                <wp:docPr id="31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22F7A" w14:textId="77777777" w:rsidR="00216FF6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802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A372A" id="pole tekstowe 30" o:spid="_x0000_s1028" type="#_x0000_t202" style="position:absolute;margin-left:88.9pt;margin-top:287.2pt;width:39.65pt;height:15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35622F7A" w14:textId="77777777" w:rsidR="00216FF6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802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BFB814" wp14:editId="04D01BAC">
                <wp:simplePos x="0" y="0"/>
                <wp:positionH relativeFrom="column">
                  <wp:posOffset>5733415</wp:posOffset>
                </wp:positionH>
                <wp:positionV relativeFrom="paragraph">
                  <wp:posOffset>4288790</wp:posOffset>
                </wp:positionV>
                <wp:extent cx="3023870" cy="585470"/>
                <wp:effectExtent l="0" t="0" r="24130" b="14605"/>
                <wp:wrapNone/>
                <wp:docPr id="9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23870" cy="58547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8EE84" w14:textId="77777777" w:rsidR="00216FF6" w:rsidRPr="00192DAE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92DAE">
                              <w:rPr>
                                <w:rFonts w:asciiTheme="majorHAnsi" w:eastAsia="Lato Medium" w:hAnsiTheme="majorHAnsi" w:cstheme="majorHAnsi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Alokacja na Polskę Wschodnią</w:t>
                            </w:r>
                          </w:p>
                          <w:p w14:paraId="08D324C2" w14:textId="77777777" w:rsidR="00216FF6" w:rsidRPr="00192DAE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92DAE">
                              <w:rPr>
                                <w:rFonts w:asciiTheme="majorHAnsi" w:eastAsia="Lato Medium" w:hAnsiTheme="majorHAnsi" w:cstheme="majorHAns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2,2 mld EUR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FB814" id="_x0000_s1029" type="#_x0000_t202" style="position:absolute;margin-left:451.45pt;margin-top:337.7pt;width:238.1pt;height:46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14:paraId="41A8EE84" w14:textId="77777777" w:rsidR="00216FF6" w:rsidRPr="00192DAE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 w:rsidRPr="00192DAE">
                        <w:rPr>
                          <w:rFonts w:asciiTheme="majorHAnsi" w:eastAsia="Lato Medium" w:hAnsiTheme="majorHAnsi" w:cstheme="majorHAnsi"/>
                          <w:color w:val="000000" w:themeColor="dark1"/>
                          <w:kern w:val="24"/>
                          <w:sz w:val="32"/>
                          <w:szCs w:val="32"/>
                        </w:rPr>
                        <w:t>Alokacja na Polskę Wschodnią</w:t>
                      </w:r>
                    </w:p>
                    <w:p w14:paraId="08D324C2" w14:textId="77777777" w:rsidR="00216FF6" w:rsidRPr="00192DAE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 w:rsidRPr="00192DAE">
                        <w:rPr>
                          <w:rFonts w:asciiTheme="majorHAnsi" w:eastAsia="Lato Medium" w:hAnsiTheme="majorHAnsi" w:cstheme="majorHAns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2,2 mld EUR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181CA4" wp14:editId="4B227ADC">
                <wp:simplePos x="0" y="0"/>
                <wp:positionH relativeFrom="column">
                  <wp:posOffset>5733415</wp:posOffset>
                </wp:positionH>
                <wp:positionV relativeFrom="paragraph">
                  <wp:posOffset>3318510</wp:posOffset>
                </wp:positionV>
                <wp:extent cx="3023870" cy="860425"/>
                <wp:effectExtent l="0" t="0" r="24130" b="26035"/>
                <wp:wrapNone/>
                <wp:docPr id="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23870" cy="86042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FCCA4" w14:textId="77777777" w:rsidR="00216FF6" w:rsidRPr="00192DAE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92DAE">
                              <w:rPr>
                                <w:rFonts w:asciiTheme="majorHAnsi" w:eastAsia="Lato Medium" w:hAnsiTheme="majorHAnsi" w:cstheme="majorHAnsi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Alokacja na Fundusz Sprawiedliwej Transformacji</w:t>
                            </w:r>
                          </w:p>
                          <w:p w14:paraId="679A9601" w14:textId="77777777" w:rsidR="00216FF6" w:rsidRPr="00192DAE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92DAE">
                              <w:rPr>
                                <w:rFonts w:asciiTheme="majorHAnsi" w:eastAsia="Lato Medium" w:hAnsiTheme="majorHAnsi" w:cstheme="majorHAnsi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3,5 mld EUR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81CA4" id="pole tekstowe 1" o:spid="_x0000_s1030" type="#_x0000_t202" style="position:absolute;margin-left:451.45pt;margin-top:261.3pt;width:238.1pt;height:6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" fillcolor="black [3200]" strokecolor="black [1600]" strokeweight="1pt">
                <v:textbox style="mso-fit-shape-to-text:t">
                  <w:txbxContent>
                    <w:p w14:paraId="613FCCA4" w14:textId="77777777" w:rsidR="00216FF6" w:rsidRPr="00192DAE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 w:rsidRPr="00192DAE">
                        <w:rPr>
                          <w:rFonts w:asciiTheme="majorHAnsi" w:eastAsia="Lato Medium" w:hAnsiTheme="majorHAnsi" w:cstheme="majorHAnsi"/>
                          <w:color w:val="FFFFFF" w:themeColor="light1"/>
                          <w:kern w:val="24"/>
                          <w:sz w:val="32"/>
                          <w:szCs w:val="32"/>
                        </w:rPr>
                        <w:t>Alokacja na Fundusz Sprawiedliwej Transformacji</w:t>
                      </w:r>
                    </w:p>
                    <w:p w14:paraId="679A9601" w14:textId="77777777" w:rsidR="00216FF6" w:rsidRPr="00192DAE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 w:rsidRPr="00192DAE">
                        <w:rPr>
                          <w:rFonts w:asciiTheme="majorHAnsi" w:eastAsia="Lato Medium" w:hAnsiTheme="majorHAnsi" w:cstheme="majorHAnsi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3,5 mld EUR</w:t>
                      </w:r>
                    </w:p>
                  </w:txbxContent>
                </v:textbox>
              </v:shape>
            </w:pict>
          </mc:Fallback>
        </mc:AlternateContent>
      </w:r>
      <w:r w:rsidR="00192DA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2D5C4C" wp14:editId="101AA900">
                <wp:simplePos x="0" y="0"/>
                <wp:positionH relativeFrom="column">
                  <wp:posOffset>5728970</wp:posOffset>
                </wp:positionH>
                <wp:positionV relativeFrom="paragraph">
                  <wp:posOffset>1070610</wp:posOffset>
                </wp:positionV>
                <wp:extent cx="3023870" cy="1403985"/>
                <wp:effectExtent l="0" t="0" r="508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0B4A0" w14:textId="0AEE94B4" w:rsidR="00192DAE" w:rsidRPr="00192DAE" w:rsidRDefault="00192DAE" w:rsidP="00192DAE">
                            <w:pPr>
                              <w:spacing w:after="0"/>
                              <w:rPr>
                                <w:rStyle w:val="Pogrubienie"/>
                                <w:sz w:val="32"/>
                              </w:rPr>
                            </w:pPr>
                            <w:r w:rsidRPr="00192DAE">
                              <w:rPr>
                                <w:rStyle w:val="Pogrubienie"/>
                                <w:sz w:val="32"/>
                              </w:rPr>
                              <w:t>LEGENDA: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2D5C4C" id="_x0000_s1031" type="#_x0000_t202" style="position:absolute;margin-left:451.1pt;margin-top:84.3pt;width:238.1pt;height:110.5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" stroked="f">
                <v:textbox style="mso-fit-shape-to-text:t">
                  <w:txbxContent>
                    <w:p w14:paraId="53E0B4A0" w14:textId="0AEE94B4" w:rsidR="00192DAE" w:rsidRPr="00192DAE" w:rsidRDefault="00192DAE" w:rsidP="00192DAE">
                      <w:pPr>
                        <w:spacing w:after="0"/>
                        <w:rPr>
                          <w:rStyle w:val="Pogrubienie"/>
                          <w:sz w:val="32"/>
                        </w:rPr>
                      </w:pPr>
                      <w:r w:rsidRPr="00192DAE">
                        <w:rPr>
                          <w:rStyle w:val="Pogrubienie"/>
                          <w:sz w:val="32"/>
                        </w:rPr>
                        <w:t>LEGENDA: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44AF46" wp14:editId="5CFDAD2C">
                <wp:simplePos x="0" y="0"/>
                <wp:positionH relativeFrom="column">
                  <wp:posOffset>5733415</wp:posOffset>
                </wp:positionH>
                <wp:positionV relativeFrom="paragraph">
                  <wp:posOffset>1527810</wp:posOffset>
                </wp:positionV>
                <wp:extent cx="3023870" cy="2093595"/>
                <wp:effectExtent l="0" t="0" r="24130" b="12065"/>
                <wp:wrapNone/>
                <wp:docPr id="41" name="pole tekstow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23870" cy="20935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3AFD2" w14:textId="77777777" w:rsidR="00216FF6" w:rsidRPr="00192DAE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92DAE">
                              <w:rPr>
                                <w:rFonts w:asciiTheme="majorHAnsi" w:eastAsia="Lato Medium" w:hAnsiTheme="majorHAnsi" w:cstheme="majorHAns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Łączna wartość środków </w:t>
                            </w:r>
                            <w:r w:rsidRPr="00192DAE">
                              <w:rPr>
                                <w:rFonts w:asciiTheme="majorHAnsi" w:eastAsia="Lato Medium" w:hAnsiTheme="majorHAnsi" w:cstheme="majorHAns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br/>
                              <w:t xml:space="preserve">w PR (obecna propozycja alokacji): </w:t>
                            </w:r>
                          </w:p>
                          <w:p w14:paraId="618D033F" w14:textId="77777777" w:rsidR="00216FF6" w:rsidRPr="00192DAE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92DAE">
                              <w:rPr>
                                <w:rFonts w:asciiTheme="majorHAnsi" w:eastAsia="Lato Medium" w:hAnsiTheme="majorHAnsi" w:cstheme="majorHAnsi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</w:rPr>
                              <w:t>18,9 mld EUR</w:t>
                            </w:r>
                          </w:p>
                          <w:p w14:paraId="79C280BE" w14:textId="77777777" w:rsidR="00216FF6" w:rsidRPr="00192DAE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92DAE">
                              <w:rPr>
                                <w:rFonts w:asciiTheme="majorHAnsi" w:eastAsia="Lato Medium" w:hAnsiTheme="majorHAnsi" w:cstheme="majorHAns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Dodatkowa alokacja przydzielona PR na późniejszym etapie:</w:t>
                            </w:r>
                          </w:p>
                          <w:p w14:paraId="35D1F8B4" w14:textId="77777777" w:rsidR="00216FF6" w:rsidRPr="00192DAE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92DAE">
                              <w:rPr>
                                <w:rFonts w:asciiTheme="majorHAnsi" w:eastAsia="Lato Medium" w:hAnsiTheme="majorHAnsi" w:cstheme="majorHAns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6,3 mld EUR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4AF46" id="pole tekstowe 40" o:spid="_x0000_s1032" type="#_x0000_t202" style="position:absolute;margin-left:451.45pt;margin-top:120.3pt;width:238.1pt;height:16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" fillcolor="white [3201]" strokecolor="#70ad47 [3209]" strokeweight="1pt">
                <v:textbox style="mso-fit-shape-to-text:t">
                  <w:txbxContent>
                    <w:p w14:paraId="6C53AFD2" w14:textId="77777777" w:rsidR="00216FF6" w:rsidRPr="00192DAE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 w:rsidRPr="00192DAE">
                        <w:rPr>
                          <w:rFonts w:asciiTheme="majorHAnsi" w:eastAsia="Lato Medium" w:hAnsiTheme="majorHAnsi" w:cstheme="majorHAns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Łączna wartość środków </w:t>
                      </w:r>
                      <w:r w:rsidRPr="00192DAE">
                        <w:rPr>
                          <w:rFonts w:asciiTheme="majorHAnsi" w:eastAsia="Lato Medium" w:hAnsiTheme="majorHAnsi" w:cstheme="majorHAns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br/>
                        <w:t xml:space="preserve">w PR (obecna propozycja alokacji): </w:t>
                      </w:r>
                    </w:p>
                    <w:p w14:paraId="618D033F" w14:textId="77777777" w:rsidR="00216FF6" w:rsidRPr="00192DAE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 w:rsidRPr="00192DAE">
                        <w:rPr>
                          <w:rFonts w:asciiTheme="majorHAnsi" w:eastAsia="Lato Medium" w:hAnsiTheme="majorHAnsi" w:cstheme="majorHAnsi"/>
                          <w:b/>
                          <w:bCs/>
                          <w:color w:val="92D050"/>
                          <w:kern w:val="24"/>
                          <w:sz w:val="32"/>
                          <w:szCs w:val="32"/>
                        </w:rPr>
                        <w:t>18,9 mld EUR</w:t>
                      </w:r>
                    </w:p>
                    <w:p w14:paraId="79C280BE" w14:textId="77777777" w:rsidR="00216FF6" w:rsidRPr="00192DAE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 w:rsidRPr="00192DAE">
                        <w:rPr>
                          <w:rFonts w:asciiTheme="majorHAnsi" w:eastAsia="Lato Medium" w:hAnsiTheme="majorHAnsi" w:cstheme="majorHAns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Dodatkowa alokacja przydzielona PR na późniejszym etapie:</w:t>
                      </w:r>
                    </w:p>
                    <w:p w14:paraId="35D1F8B4" w14:textId="77777777" w:rsidR="00216FF6" w:rsidRPr="00192DAE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 w:rsidRPr="00192DAE">
                        <w:rPr>
                          <w:rFonts w:asciiTheme="majorHAnsi" w:eastAsia="Lato Medium" w:hAnsiTheme="majorHAnsi" w:cstheme="majorHAns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6,3 mld EUR</w:t>
                      </w:r>
                    </w:p>
                  </w:txbxContent>
                </v:textbox>
              </v:shape>
            </w:pict>
          </mc:Fallback>
        </mc:AlternateContent>
      </w:r>
      <w:r w:rsidR="00192DA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229354" wp14:editId="0F1C623E">
                <wp:simplePos x="0" y="0"/>
                <wp:positionH relativeFrom="column">
                  <wp:posOffset>292100</wp:posOffset>
                </wp:positionH>
                <wp:positionV relativeFrom="paragraph">
                  <wp:posOffset>436245</wp:posOffset>
                </wp:positionV>
                <wp:extent cx="5238115" cy="635"/>
                <wp:effectExtent l="0" t="0" r="635" b="1524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11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5675A9" w14:textId="3B541DD6" w:rsidR="00192DAE" w:rsidRPr="00192DAE" w:rsidRDefault="00192DAE" w:rsidP="00192DAE">
                            <w:pPr>
                              <w:pStyle w:val="Legenda"/>
                              <w:rPr>
                                <w:sz w:val="24"/>
                              </w:rPr>
                            </w:pPr>
                            <w:r w:rsidRPr="00192DAE">
                              <w:rPr>
                                <w:sz w:val="24"/>
                              </w:rPr>
                              <w:t xml:space="preserve">Mapa </w:t>
                            </w:r>
                            <w:r w:rsidRPr="00192DAE">
                              <w:rPr>
                                <w:sz w:val="24"/>
                              </w:rPr>
                              <w:fldChar w:fldCharType="begin"/>
                            </w:r>
                            <w:r w:rsidRPr="00192DAE">
                              <w:rPr>
                                <w:sz w:val="24"/>
                              </w:rPr>
                              <w:instrText xml:space="preserve"> SEQ Mapa \* ARABIC </w:instrText>
                            </w:r>
                            <w:r w:rsidRPr="00192DAE">
                              <w:rPr>
                                <w:sz w:val="24"/>
                              </w:rPr>
                              <w:fldChar w:fldCharType="separate"/>
                            </w:r>
                            <w:r w:rsidRPr="00192DAE">
                              <w:rPr>
                                <w:noProof/>
                                <w:sz w:val="24"/>
                              </w:rPr>
                              <w:t>1</w:t>
                            </w:r>
                            <w:r w:rsidRPr="00192DAE">
                              <w:rPr>
                                <w:sz w:val="24"/>
                              </w:rPr>
                              <w:fldChar w:fldCharType="end"/>
                            </w:r>
                            <w:r w:rsidRPr="00192DAE">
                              <w:rPr>
                                <w:sz w:val="24"/>
                              </w:rPr>
                              <w:t>: Podział funduszy między regiony z wyróżnieneim PR (szare tło), FST (czarne tło) i PPW (niebieskie tło) [mln euro]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29354" id="Pole tekstowe 12" o:spid="_x0000_s1033" type="#_x0000_t202" style="position:absolute;margin-left:23pt;margin-top:34.35pt;width:412.45pt;height: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" filled="f" stroked="f">
                <v:textbox style="mso-fit-shape-to-text:t" inset="0,0,0,0">
                  <w:txbxContent>
                    <w:p w14:paraId="025675A9" w14:textId="3B541DD6" w:rsidR="00192DAE" w:rsidRPr="00192DAE" w:rsidRDefault="00192DAE" w:rsidP="00192DAE">
                      <w:pPr>
                        <w:pStyle w:val="Legenda"/>
                        <w:rPr>
                          <w:sz w:val="24"/>
                        </w:rPr>
                      </w:pPr>
                      <w:r w:rsidRPr="00192DAE">
                        <w:rPr>
                          <w:sz w:val="24"/>
                        </w:rPr>
                        <w:t xml:space="preserve">Mapa </w:t>
                      </w:r>
                      <w:r w:rsidRPr="00192DAE">
                        <w:rPr>
                          <w:sz w:val="24"/>
                        </w:rPr>
                        <w:fldChar w:fldCharType="begin"/>
                      </w:r>
                      <w:r w:rsidRPr="00192DAE">
                        <w:rPr>
                          <w:sz w:val="24"/>
                        </w:rPr>
                        <w:instrText xml:space="preserve"> SEQ Mapa \* ARABIC </w:instrText>
                      </w:r>
                      <w:r w:rsidRPr="00192DAE">
                        <w:rPr>
                          <w:sz w:val="24"/>
                        </w:rPr>
                        <w:fldChar w:fldCharType="separate"/>
                      </w:r>
                      <w:r w:rsidRPr="00192DAE">
                        <w:rPr>
                          <w:noProof/>
                          <w:sz w:val="24"/>
                        </w:rPr>
                        <w:t>1</w:t>
                      </w:r>
                      <w:r w:rsidRPr="00192DAE">
                        <w:rPr>
                          <w:sz w:val="24"/>
                        </w:rPr>
                        <w:fldChar w:fldCharType="end"/>
                      </w:r>
                      <w:r w:rsidRPr="00192DAE">
                        <w:rPr>
                          <w:sz w:val="24"/>
                        </w:rPr>
                        <w:t>: Podział funduszy między regiony z wyróżnieneim PR (szare tło), FST (czarne tło) i PPW (niebieskie tło) [mln euro]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6534C5" wp14:editId="335DE73C">
                <wp:simplePos x="0" y="0"/>
                <wp:positionH relativeFrom="column">
                  <wp:posOffset>4442460</wp:posOffset>
                </wp:positionH>
                <wp:positionV relativeFrom="paragraph">
                  <wp:posOffset>2186940</wp:posOffset>
                </wp:positionV>
                <wp:extent cx="503555" cy="197485"/>
                <wp:effectExtent l="0" t="0" r="10795" b="12065"/>
                <wp:wrapNone/>
                <wp:docPr id="22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C3B2E" w14:textId="77777777" w:rsidR="00216FF6" w:rsidRPr="007C4E8A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7C4E8A"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370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534C5" id="pole tekstowe 21" o:spid="_x0000_s1034" type="#_x0000_t202" style="position:absolute;margin-left:349.8pt;margin-top:172.2pt;width:39.65pt;height:15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595C3B2E" w14:textId="77777777" w:rsidR="00216FF6" w:rsidRPr="007C4E8A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7C4E8A"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4"/>
                          <w:szCs w:val="14"/>
                        </w:rPr>
                        <w:t>370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D371CC" wp14:editId="45800D62">
                <wp:simplePos x="0" y="0"/>
                <wp:positionH relativeFrom="column">
                  <wp:posOffset>4442460</wp:posOffset>
                </wp:positionH>
                <wp:positionV relativeFrom="paragraph">
                  <wp:posOffset>1958340</wp:posOffset>
                </wp:positionV>
                <wp:extent cx="503555" cy="197485"/>
                <wp:effectExtent l="0" t="0" r="10795" b="12065"/>
                <wp:wrapNone/>
                <wp:docPr id="24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57133" w14:textId="77777777" w:rsidR="00216FF6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984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371CC" id="pole tekstowe 23" o:spid="_x0000_s1035" type="#_x0000_t202" style="position:absolute;margin-left:349.8pt;margin-top:154.2pt;width:39.6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06157133" w14:textId="77777777" w:rsidR="00216FF6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984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A2F8D0" wp14:editId="14FCE8EA">
                <wp:simplePos x="0" y="0"/>
                <wp:positionH relativeFrom="column">
                  <wp:posOffset>3394710</wp:posOffset>
                </wp:positionH>
                <wp:positionV relativeFrom="paragraph">
                  <wp:posOffset>1464310</wp:posOffset>
                </wp:positionV>
                <wp:extent cx="503555" cy="197485"/>
                <wp:effectExtent l="0" t="0" r="10795" b="12065"/>
                <wp:wrapNone/>
                <wp:docPr id="36" name="pole tekstow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BB4CF" w14:textId="77777777" w:rsidR="00216FF6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1 018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2F8D0" id="pole tekstowe 35" o:spid="_x0000_s1036" type="#_x0000_t202" style="position:absolute;margin-left:267.3pt;margin-top:115.3pt;width:39.6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3DDBB4CF" w14:textId="77777777" w:rsidR="00216FF6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1 018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9581C3" wp14:editId="2365D72F">
                <wp:simplePos x="0" y="0"/>
                <wp:positionH relativeFrom="column">
                  <wp:posOffset>3394710</wp:posOffset>
                </wp:positionH>
                <wp:positionV relativeFrom="paragraph">
                  <wp:posOffset>1673860</wp:posOffset>
                </wp:positionV>
                <wp:extent cx="503555" cy="197485"/>
                <wp:effectExtent l="0" t="0" r="10795" b="12065"/>
                <wp:wrapNone/>
                <wp:docPr id="51" name="pole tekstow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60933" w14:textId="77777777" w:rsidR="00216FF6" w:rsidRPr="007C4E8A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7C4E8A"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370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581C3" id="pole tekstowe 50" o:spid="_x0000_s1037" type="#_x0000_t202" style="position:absolute;margin-left:267.3pt;margin-top:131.8pt;width:39.65pt;height:15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22C60933" w14:textId="77777777" w:rsidR="00216FF6" w:rsidRPr="007C4E8A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7C4E8A"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4"/>
                          <w:szCs w:val="14"/>
                        </w:rPr>
                        <w:t>370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65255D" wp14:editId="4FC71462">
                <wp:simplePos x="0" y="0"/>
                <wp:positionH relativeFrom="column">
                  <wp:posOffset>4481830</wp:posOffset>
                </wp:positionH>
                <wp:positionV relativeFrom="paragraph">
                  <wp:posOffset>3548380</wp:posOffset>
                </wp:positionV>
                <wp:extent cx="503555" cy="197485"/>
                <wp:effectExtent l="0" t="0" r="10795" b="12065"/>
                <wp:wrapNone/>
                <wp:docPr id="26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66DF3" w14:textId="77777777" w:rsidR="00216FF6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1 623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5255D" id="pole tekstowe 25" o:spid="_x0000_s1038" type="#_x0000_t202" style="position:absolute;margin-left:352.9pt;margin-top:279.4pt;width:39.6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60566DF3" w14:textId="77777777" w:rsidR="00216FF6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1 623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C20E15" wp14:editId="70ED0433">
                <wp:simplePos x="0" y="0"/>
                <wp:positionH relativeFrom="column">
                  <wp:posOffset>4481830</wp:posOffset>
                </wp:positionH>
                <wp:positionV relativeFrom="paragraph">
                  <wp:posOffset>3767455</wp:posOffset>
                </wp:positionV>
                <wp:extent cx="503555" cy="197485"/>
                <wp:effectExtent l="0" t="0" r="10795" b="12065"/>
                <wp:wrapNone/>
                <wp:docPr id="40" name="pole tekstow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33D78" w14:textId="77777777" w:rsidR="00216FF6" w:rsidRPr="007C4E8A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7C4E8A"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370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0E15" id="pole tekstowe 39" o:spid="_x0000_s1039" type="#_x0000_t202" style="position:absolute;margin-left:352.9pt;margin-top:296.65pt;width:39.65pt;height:15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29833D78" w14:textId="77777777" w:rsidR="00216FF6" w:rsidRPr="007C4E8A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7C4E8A"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4"/>
                          <w:szCs w:val="14"/>
                        </w:rPr>
                        <w:t>370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F8D145" wp14:editId="1832D39E">
                <wp:simplePos x="0" y="0"/>
                <wp:positionH relativeFrom="column">
                  <wp:posOffset>4204335</wp:posOffset>
                </wp:positionH>
                <wp:positionV relativeFrom="paragraph">
                  <wp:posOffset>4655185</wp:posOffset>
                </wp:positionV>
                <wp:extent cx="503555" cy="197485"/>
                <wp:effectExtent l="0" t="0" r="10795" b="12065"/>
                <wp:wrapNone/>
                <wp:docPr id="27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4DFD0" w14:textId="77777777" w:rsidR="00216FF6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1 635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8D145" id="pole tekstowe 26" o:spid="_x0000_s1040" type="#_x0000_t202" style="position:absolute;margin-left:331.05pt;margin-top:366.55pt;width:39.65pt;height:15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6EC4DFD0" w14:textId="77777777" w:rsidR="00216FF6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1 635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8D3006" wp14:editId="04D27082">
                <wp:simplePos x="0" y="0"/>
                <wp:positionH relativeFrom="column">
                  <wp:posOffset>4204335</wp:posOffset>
                </wp:positionH>
                <wp:positionV relativeFrom="paragraph">
                  <wp:posOffset>4874260</wp:posOffset>
                </wp:positionV>
                <wp:extent cx="503555" cy="197485"/>
                <wp:effectExtent l="0" t="0" r="10795" b="12065"/>
                <wp:wrapNone/>
                <wp:docPr id="42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9E855" w14:textId="77777777" w:rsidR="00216FF6" w:rsidRPr="007C4E8A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7C4E8A"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370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D3006" id="pole tekstowe 41" o:spid="_x0000_s1041" type="#_x0000_t202" style="position:absolute;margin-left:331.05pt;margin-top:383.8pt;width:39.65pt;height:15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2AD9E855" w14:textId="77777777" w:rsidR="00216FF6" w:rsidRPr="007C4E8A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7C4E8A"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4"/>
                          <w:szCs w:val="14"/>
                        </w:rPr>
                        <w:t>370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3649EA" wp14:editId="7B303E49">
                <wp:simplePos x="0" y="0"/>
                <wp:positionH relativeFrom="column">
                  <wp:posOffset>3394710</wp:posOffset>
                </wp:positionH>
                <wp:positionV relativeFrom="paragraph">
                  <wp:posOffset>3991610</wp:posOffset>
                </wp:positionV>
                <wp:extent cx="503555" cy="197485"/>
                <wp:effectExtent l="0" t="0" r="10795" b="12065"/>
                <wp:wrapNone/>
                <wp:docPr id="34" name="pole tekstow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D4DFE" w14:textId="77777777" w:rsidR="00216FF6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981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649EA" id="pole tekstowe 33" o:spid="_x0000_s1042" type="#_x0000_t202" style="position:absolute;margin-left:267.3pt;margin-top:314.3pt;width:39.6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09CD4DFE" w14:textId="77777777" w:rsidR="00216FF6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981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0191C2" wp14:editId="33EBE155">
                <wp:simplePos x="0" y="0"/>
                <wp:positionH relativeFrom="column">
                  <wp:posOffset>3394710</wp:posOffset>
                </wp:positionH>
                <wp:positionV relativeFrom="paragraph">
                  <wp:posOffset>4210685</wp:posOffset>
                </wp:positionV>
                <wp:extent cx="503555" cy="197485"/>
                <wp:effectExtent l="0" t="0" r="10795" b="12065"/>
                <wp:wrapNone/>
                <wp:docPr id="49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8A385" w14:textId="77777777" w:rsidR="00216FF6" w:rsidRPr="007C4E8A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7C4E8A"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370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191C2" id="pole tekstowe 48" o:spid="_x0000_s1043" type="#_x0000_t202" style="position:absolute;margin-left:267.3pt;margin-top:331.55pt;width:39.65pt;height:15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898A385" w14:textId="77777777" w:rsidR="00216FF6" w:rsidRPr="007C4E8A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7C4E8A"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4"/>
                          <w:szCs w:val="14"/>
                        </w:rPr>
                        <w:t>370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E9B005" wp14:editId="76A85C5A">
                <wp:simplePos x="0" y="0"/>
                <wp:positionH relativeFrom="column">
                  <wp:posOffset>3147060</wp:posOffset>
                </wp:positionH>
                <wp:positionV relativeFrom="paragraph">
                  <wp:posOffset>4768215</wp:posOffset>
                </wp:positionV>
                <wp:extent cx="503555" cy="197485"/>
                <wp:effectExtent l="0" t="0" r="10795" b="12065"/>
                <wp:wrapNone/>
                <wp:docPr id="28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B14EB" w14:textId="77777777" w:rsidR="00216FF6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1 396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9B005" id="pole tekstowe 27" o:spid="_x0000_s1044" type="#_x0000_t202" style="position:absolute;margin-left:247.8pt;margin-top:375.45pt;width:39.6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11CB14EB" w14:textId="77777777" w:rsidR="00216FF6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1 396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3CA205" wp14:editId="06D363CD">
                <wp:simplePos x="0" y="0"/>
                <wp:positionH relativeFrom="column">
                  <wp:posOffset>3147695</wp:posOffset>
                </wp:positionH>
                <wp:positionV relativeFrom="paragraph">
                  <wp:posOffset>4977765</wp:posOffset>
                </wp:positionV>
                <wp:extent cx="503555" cy="197485"/>
                <wp:effectExtent l="0" t="0" r="10795" b="12065"/>
                <wp:wrapNone/>
                <wp:docPr id="43" name="pole tekstow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2C027" w14:textId="77777777" w:rsidR="00216FF6" w:rsidRPr="007C4E8A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7C4E8A">
                              <w:rPr>
                                <w:rFonts w:ascii="Lato Medium" w:eastAsia="Lato Medium" w:hAnsi="Lato Medium" w:cs="Lato Medium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  <w:t>236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A205" id="pole tekstowe 42" o:spid="_x0000_s1045" type="#_x0000_t202" style="position:absolute;margin-left:247.85pt;margin-top:391.95pt;width:39.65pt;height:15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" fillcolor="black [3200]" strokecolor="black [1600]" strokeweight="1pt">
                <v:textbox>
                  <w:txbxContent>
                    <w:p w14:paraId="04B2C027" w14:textId="77777777" w:rsidR="00216FF6" w:rsidRPr="007C4E8A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7C4E8A">
                        <w:rPr>
                          <w:rFonts w:ascii="Lato Medium" w:eastAsia="Lato Medium" w:hAnsi="Lato Medium" w:cs="Lato Medium"/>
                          <w:color w:val="FFFFFF" w:themeColor="light1"/>
                          <w:kern w:val="24"/>
                          <w:sz w:val="14"/>
                          <w:szCs w:val="14"/>
                        </w:rPr>
                        <w:t>236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EEB671" wp14:editId="1BE04C14">
                <wp:simplePos x="0" y="0"/>
                <wp:positionH relativeFrom="column">
                  <wp:posOffset>2469515</wp:posOffset>
                </wp:positionH>
                <wp:positionV relativeFrom="paragraph">
                  <wp:posOffset>4290695</wp:posOffset>
                </wp:positionV>
                <wp:extent cx="503555" cy="197485"/>
                <wp:effectExtent l="0" t="0" r="10795" b="12065"/>
                <wp:wrapNone/>
                <wp:docPr id="29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E337E" w14:textId="77777777" w:rsidR="00216FF6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1 835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EB671" id="pole tekstowe 28" o:spid="_x0000_s1046" type="#_x0000_t202" style="position:absolute;margin-left:194.45pt;margin-top:337.85pt;width:39.65pt;height:15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36EE337E" w14:textId="77777777" w:rsidR="00216FF6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1 835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68BE85" wp14:editId="409B2B7E">
                <wp:simplePos x="0" y="0"/>
                <wp:positionH relativeFrom="column">
                  <wp:posOffset>2470150</wp:posOffset>
                </wp:positionH>
                <wp:positionV relativeFrom="paragraph">
                  <wp:posOffset>4509770</wp:posOffset>
                </wp:positionV>
                <wp:extent cx="503555" cy="197485"/>
                <wp:effectExtent l="0" t="0" r="10795" b="12065"/>
                <wp:wrapNone/>
                <wp:docPr id="44" name="pole tekstow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23F48" w14:textId="77777777" w:rsidR="00216FF6" w:rsidRPr="007C4E8A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7C4E8A">
                              <w:rPr>
                                <w:rFonts w:ascii="Lato Medium" w:eastAsia="Lato Medium" w:hAnsi="Lato Medium" w:cs="Lato Medium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  <w:t>1 942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8BE85" id="pole tekstowe 43" o:spid="_x0000_s1047" type="#_x0000_t202" style="position:absolute;margin-left:194.5pt;margin-top:355.1pt;width:39.65pt;height:15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" fillcolor="black [3200]" strokecolor="black [1600]" strokeweight="1pt">
                <v:textbox>
                  <w:txbxContent>
                    <w:p w14:paraId="58823F48" w14:textId="77777777" w:rsidR="00216FF6" w:rsidRPr="007C4E8A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7C4E8A">
                        <w:rPr>
                          <w:rFonts w:ascii="Lato Medium" w:eastAsia="Lato Medium" w:hAnsi="Lato Medium" w:cs="Lato Medium"/>
                          <w:color w:val="FFFFFF" w:themeColor="light1"/>
                          <w:kern w:val="24"/>
                          <w:sz w:val="14"/>
                          <w:szCs w:val="14"/>
                        </w:rPr>
                        <w:t>1 942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19CEE6" wp14:editId="1BCA644D">
                <wp:simplePos x="0" y="0"/>
                <wp:positionH relativeFrom="column">
                  <wp:posOffset>1908810</wp:posOffset>
                </wp:positionH>
                <wp:positionV relativeFrom="paragraph">
                  <wp:posOffset>4091940</wp:posOffset>
                </wp:positionV>
                <wp:extent cx="503555" cy="197485"/>
                <wp:effectExtent l="0" t="0" r="10795" b="12065"/>
                <wp:wrapNone/>
                <wp:docPr id="30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A447C" w14:textId="77777777" w:rsidR="00216FF6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657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9CEE6" id="pole tekstowe 29" o:spid="_x0000_s1048" type="#_x0000_t202" style="position:absolute;margin-left:150.3pt;margin-top:322.2pt;width:39.6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6B3A447C" w14:textId="77777777" w:rsidR="00216FF6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657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F5AB51" wp14:editId="0058CB99">
                <wp:simplePos x="0" y="0"/>
                <wp:positionH relativeFrom="column">
                  <wp:posOffset>1139190</wp:posOffset>
                </wp:positionH>
                <wp:positionV relativeFrom="paragraph">
                  <wp:posOffset>3866515</wp:posOffset>
                </wp:positionV>
                <wp:extent cx="503555" cy="197485"/>
                <wp:effectExtent l="0" t="0" r="10795" b="12065"/>
                <wp:wrapNone/>
                <wp:docPr id="46" name="pole tekstow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27FF4" w14:textId="77777777" w:rsidR="00216FF6" w:rsidRPr="007C4E8A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7C4E8A">
                              <w:rPr>
                                <w:rFonts w:ascii="Lato Medium" w:eastAsia="Lato Medium" w:hAnsi="Lato Medium" w:cs="Lato Medium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  <w:t>578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5AB51" id="pole tekstowe 45" o:spid="_x0000_s1049" type="#_x0000_t202" style="position:absolute;margin-left:89.7pt;margin-top:304.45pt;width:39.65pt;height:15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" fillcolor="black [3200]" strokecolor="black [1600]" strokeweight="1pt">
                <v:textbox>
                  <w:txbxContent>
                    <w:p w14:paraId="17C27FF4" w14:textId="77777777" w:rsidR="00216FF6" w:rsidRPr="007C4E8A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7C4E8A">
                        <w:rPr>
                          <w:rFonts w:ascii="Lato Medium" w:eastAsia="Lato Medium" w:hAnsi="Lato Medium" w:cs="Lato Medium"/>
                          <w:color w:val="FFFFFF" w:themeColor="light1"/>
                          <w:kern w:val="24"/>
                          <w:sz w:val="14"/>
                          <w:szCs w:val="14"/>
                        </w:rPr>
                        <w:t>578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A634BB" wp14:editId="37B04521">
                <wp:simplePos x="0" y="0"/>
                <wp:positionH relativeFrom="column">
                  <wp:posOffset>594360</wp:posOffset>
                </wp:positionH>
                <wp:positionV relativeFrom="paragraph">
                  <wp:posOffset>2796540</wp:posOffset>
                </wp:positionV>
                <wp:extent cx="503555" cy="197485"/>
                <wp:effectExtent l="0" t="0" r="10795" b="12065"/>
                <wp:wrapNone/>
                <wp:docPr id="38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F5244" w14:textId="77777777" w:rsidR="00216FF6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682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634BB" id="pole tekstowe 37" o:spid="_x0000_s1050" type="#_x0000_t202" style="position:absolute;margin-left:46.8pt;margin-top:220.2pt;width:39.65pt;height:15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0D9F5244" w14:textId="77777777" w:rsidR="00216FF6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682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3C8660" wp14:editId="273BAEDE">
                <wp:simplePos x="0" y="0"/>
                <wp:positionH relativeFrom="column">
                  <wp:posOffset>794385</wp:posOffset>
                </wp:positionH>
                <wp:positionV relativeFrom="paragraph">
                  <wp:posOffset>1673860</wp:posOffset>
                </wp:positionV>
                <wp:extent cx="503555" cy="197485"/>
                <wp:effectExtent l="0" t="0" r="10795" b="12065"/>
                <wp:wrapNone/>
                <wp:docPr id="39" name="pole tekstow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3B825" w14:textId="77777777" w:rsidR="00216FF6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1  097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C8660" id="pole tekstowe 38" o:spid="_x0000_s1051" type="#_x0000_t202" style="position:absolute;margin-left:62.55pt;margin-top:131.8pt;width:39.65pt;height:15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3423B825" w14:textId="77777777" w:rsidR="00216FF6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1  097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21A9E8" wp14:editId="67259115">
                <wp:simplePos x="0" y="0"/>
                <wp:positionH relativeFrom="column">
                  <wp:posOffset>2052955</wp:posOffset>
                </wp:positionH>
                <wp:positionV relativeFrom="paragraph">
                  <wp:posOffset>1273810</wp:posOffset>
                </wp:positionV>
                <wp:extent cx="503555" cy="197485"/>
                <wp:effectExtent l="0" t="0" r="10795" b="12065"/>
                <wp:wrapNone/>
                <wp:docPr id="37" name="pole tekstow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43D45" w14:textId="77777777" w:rsidR="00216FF6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1 172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1A9E8" id="pole tekstowe 36" o:spid="_x0000_s1052" type="#_x0000_t202" style="position:absolute;margin-left:161.65pt;margin-top:100.3pt;width:39.65pt;height:15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30B43D45" w14:textId="77777777" w:rsidR="00216FF6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1 172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1E07D9" wp14:editId="2F6F97F6">
                <wp:simplePos x="0" y="0"/>
                <wp:positionH relativeFrom="column">
                  <wp:posOffset>3651885</wp:posOffset>
                </wp:positionH>
                <wp:positionV relativeFrom="paragraph">
                  <wp:posOffset>2653665</wp:posOffset>
                </wp:positionV>
                <wp:extent cx="503555" cy="197485"/>
                <wp:effectExtent l="0" t="0" r="10795" b="12065"/>
                <wp:wrapNone/>
                <wp:docPr id="25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46227" w14:textId="77777777" w:rsidR="00216FF6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1 561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E07D9" id="pole tekstowe 24" o:spid="_x0000_s1053" type="#_x0000_t202" style="position:absolute;margin-left:287.55pt;margin-top:208.95pt;width:39.65pt;height:15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7FA46227" w14:textId="77777777" w:rsidR="00216FF6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1 561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885B18" wp14:editId="50462E6B">
                <wp:simplePos x="0" y="0"/>
                <wp:positionH relativeFrom="column">
                  <wp:posOffset>3651885</wp:posOffset>
                </wp:positionH>
                <wp:positionV relativeFrom="paragraph">
                  <wp:posOffset>2872740</wp:posOffset>
                </wp:positionV>
                <wp:extent cx="503555" cy="197485"/>
                <wp:effectExtent l="0" t="0" r="10795" b="12065"/>
                <wp:wrapNone/>
                <wp:docPr id="23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74873" w14:textId="77777777" w:rsidR="00216FF6" w:rsidRPr="007C4E8A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7C4E8A"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370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85B18" id="pole tekstowe 22" o:spid="_x0000_s1054" type="#_x0000_t202" style="position:absolute;margin-left:287.55pt;margin-top:226.2pt;width:39.65pt;height:15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2574873" w14:textId="77777777" w:rsidR="00216FF6" w:rsidRPr="007C4E8A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7C4E8A"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4"/>
                          <w:szCs w:val="14"/>
                        </w:rPr>
                        <w:t>370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FB82B8" wp14:editId="592DE20F">
                <wp:simplePos x="0" y="0"/>
                <wp:positionH relativeFrom="column">
                  <wp:posOffset>2717165</wp:posOffset>
                </wp:positionH>
                <wp:positionV relativeFrom="paragraph">
                  <wp:posOffset>3315335</wp:posOffset>
                </wp:positionV>
                <wp:extent cx="503555" cy="197485"/>
                <wp:effectExtent l="0" t="0" r="10795" b="12065"/>
                <wp:wrapNone/>
                <wp:docPr id="33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8E59C" w14:textId="77777777" w:rsidR="00216FF6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1 210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B82B8" id="pole tekstowe 32" o:spid="_x0000_s1055" type="#_x0000_t202" style="position:absolute;margin-left:213.95pt;margin-top:261.05pt;width:39.65pt;height:15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0838E59C" w14:textId="77777777" w:rsidR="00216FF6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1 210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D82DE3" wp14:editId="3CBA7BD8">
                <wp:simplePos x="0" y="0"/>
                <wp:positionH relativeFrom="column">
                  <wp:posOffset>2717800</wp:posOffset>
                </wp:positionH>
                <wp:positionV relativeFrom="paragraph">
                  <wp:posOffset>3534410</wp:posOffset>
                </wp:positionV>
                <wp:extent cx="503555" cy="197485"/>
                <wp:effectExtent l="0" t="0" r="10795" b="12065"/>
                <wp:wrapNone/>
                <wp:docPr id="48" name="pole tekstow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0EC5E" w14:textId="77777777" w:rsidR="00216FF6" w:rsidRPr="007C4E8A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7C4E8A">
                              <w:rPr>
                                <w:rFonts w:ascii="Lato Medium" w:eastAsia="Lato Medium" w:hAnsi="Lato Medium" w:cs="Lato Medium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  <w:t>332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82DE3" id="pole tekstowe 47" o:spid="_x0000_s1056" type="#_x0000_t202" style="position:absolute;margin-left:214pt;margin-top:278.3pt;width:39.65pt;height:15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" fillcolor="black [3200]" strokecolor="black [1600]" strokeweight="1pt">
                <v:textbox>
                  <w:txbxContent>
                    <w:p w14:paraId="50A0EC5E" w14:textId="77777777" w:rsidR="00216FF6" w:rsidRPr="007C4E8A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7C4E8A">
                        <w:rPr>
                          <w:rFonts w:ascii="Lato Medium" w:eastAsia="Lato Medium" w:hAnsi="Lato Medium" w:cs="Lato Medium"/>
                          <w:color w:val="FFFFFF" w:themeColor="light1"/>
                          <w:kern w:val="24"/>
                          <w:sz w:val="14"/>
                          <w:szCs w:val="14"/>
                        </w:rPr>
                        <w:t>332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094344" wp14:editId="05FFADC8">
                <wp:simplePos x="0" y="0"/>
                <wp:positionH relativeFrom="column">
                  <wp:posOffset>1471930</wp:posOffset>
                </wp:positionH>
                <wp:positionV relativeFrom="paragraph">
                  <wp:posOffset>2747645</wp:posOffset>
                </wp:positionV>
                <wp:extent cx="503555" cy="197485"/>
                <wp:effectExtent l="0" t="0" r="10795" b="12065"/>
                <wp:wrapNone/>
                <wp:docPr id="32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41A7D" w14:textId="77777777" w:rsidR="00216FF6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891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94344" id="pole tekstowe 31" o:spid="_x0000_s1057" type="#_x0000_t202" style="position:absolute;margin-left:115.9pt;margin-top:216.35pt;width:39.6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12C41A7D" w14:textId="77777777" w:rsidR="00216FF6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891</w:t>
                      </w:r>
                    </w:p>
                  </w:txbxContent>
                </v:textbox>
              </v:shape>
            </w:pict>
          </mc:Fallback>
        </mc:AlternateContent>
      </w:r>
      <w:r w:rsidR="00192DAE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8F9831" wp14:editId="7097F09F">
                <wp:simplePos x="0" y="0"/>
                <wp:positionH relativeFrom="column">
                  <wp:posOffset>1472565</wp:posOffset>
                </wp:positionH>
                <wp:positionV relativeFrom="paragraph">
                  <wp:posOffset>2966720</wp:posOffset>
                </wp:positionV>
                <wp:extent cx="503555" cy="197485"/>
                <wp:effectExtent l="0" t="0" r="10795" b="12065"/>
                <wp:wrapNone/>
                <wp:docPr id="47" name="pole tekstow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38278" w14:textId="77777777" w:rsidR="00216FF6" w:rsidRPr="007C4E8A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7C4E8A">
                              <w:rPr>
                                <w:rFonts w:ascii="Lato Medium" w:eastAsia="Lato Medium" w:hAnsi="Lato Medium" w:cs="Lato Medium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  <w:t>412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F9831" id="pole tekstowe 46" o:spid="_x0000_s1058" type="#_x0000_t202" style="position:absolute;margin-left:115.95pt;margin-top:233.6pt;width:39.65pt;height:15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" fillcolor="black [3200]" strokecolor="black [1600]" strokeweight="1pt">
                <v:textbox>
                  <w:txbxContent>
                    <w:p w14:paraId="1BB38278" w14:textId="77777777" w:rsidR="00216FF6" w:rsidRPr="007C4E8A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7C4E8A">
                        <w:rPr>
                          <w:rFonts w:ascii="Lato Medium" w:eastAsia="Lato Medium" w:hAnsi="Lato Medium" w:cs="Lato Medium"/>
                          <w:color w:val="FFFFFF" w:themeColor="light1"/>
                          <w:kern w:val="24"/>
                          <w:sz w:val="14"/>
                          <w:szCs w:val="14"/>
                        </w:rPr>
                        <w:t>412</w:t>
                      </w:r>
                    </w:p>
                  </w:txbxContent>
                </v:textbox>
              </v:shape>
            </w:pict>
          </mc:Fallback>
        </mc:AlternateContent>
      </w:r>
      <w:r w:rsidR="00216FF6" w:rsidRPr="00216F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0EFB68" wp14:editId="0FF6F1FC">
                <wp:simplePos x="0" y="0"/>
                <wp:positionH relativeFrom="column">
                  <wp:posOffset>2232660</wp:posOffset>
                </wp:positionH>
                <wp:positionV relativeFrom="paragraph">
                  <wp:posOffset>2131060</wp:posOffset>
                </wp:positionV>
                <wp:extent cx="504000" cy="198000"/>
                <wp:effectExtent l="0" t="0" r="10795" b="12065"/>
                <wp:wrapNone/>
                <wp:docPr id="35" name="pole tekstow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4000" cy="198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5C538" w14:textId="77777777" w:rsidR="00216FF6" w:rsidRDefault="00216FF6" w:rsidP="00216FF6">
                            <w:pPr>
                              <w:pStyle w:val="Normalny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1 323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FB68" id="pole tekstowe 34" o:spid="_x0000_s1059" type="#_x0000_t202" style="position:absolute;margin-left:175.8pt;margin-top:167.8pt;width:39.7pt;height:15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2435C538" w14:textId="77777777" w:rsidR="00216FF6" w:rsidRDefault="00216FF6" w:rsidP="00216FF6">
                      <w:pPr>
                        <w:pStyle w:val="Normalny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1 323</w:t>
                      </w:r>
                    </w:p>
                  </w:txbxContent>
                </v:textbox>
              </v:shape>
            </w:pict>
          </mc:Fallback>
        </mc:AlternateContent>
      </w:r>
      <w:r w:rsidR="00216FF6" w:rsidRPr="00216FF6">
        <w:rPr>
          <w:noProof/>
          <w:lang w:eastAsia="pl-PL"/>
        </w:rPr>
        <w:drawing>
          <wp:anchor distT="0" distB="0" distL="114300" distR="114300" simplePos="0" relativeHeight="251658239" behindDoc="0" locked="0" layoutInCell="1" allowOverlap="1" wp14:anchorId="305DD8A1" wp14:editId="0FAE0B85">
            <wp:simplePos x="0" y="0"/>
            <wp:positionH relativeFrom="column">
              <wp:posOffset>291465</wp:posOffset>
            </wp:positionH>
            <wp:positionV relativeFrom="paragraph">
              <wp:posOffset>784860</wp:posOffset>
            </wp:positionV>
            <wp:extent cx="5238115" cy="4810125"/>
            <wp:effectExtent l="0" t="0" r="635" b="9525"/>
            <wp:wrapNone/>
            <wp:docPr id="11" name="Grupa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upa 20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264">
        <w:br w:type="column"/>
      </w:r>
      <w:r w:rsidR="00026264" w:rsidRPr="00B262BE">
        <w:rPr>
          <w:rFonts w:asciiTheme="majorHAnsi" w:hAnsiTheme="majorHAnsi" w:cstheme="majorHAnsi"/>
          <w:color w:val="0070C0"/>
          <w:sz w:val="24"/>
        </w:rPr>
        <w:lastRenderedPageBreak/>
        <w:t>Podział środków na RP, FST i PW w przeliczeniu na 1 mieszkańca (w euro) – porównanie prop</w:t>
      </w:r>
      <w:r w:rsidR="00542F3E" w:rsidRPr="00B262BE">
        <w:rPr>
          <w:rFonts w:asciiTheme="majorHAnsi" w:hAnsiTheme="majorHAnsi" w:cstheme="majorHAnsi"/>
          <w:color w:val="0070C0"/>
          <w:sz w:val="24"/>
        </w:rPr>
        <w:t xml:space="preserve">ozycji przyszłej oraz obecnej </w:t>
      </w:r>
      <w:r w:rsidR="00026264" w:rsidRPr="00B262BE">
        <w:rPr>
          <w:rFonts w:asciiTheme="majorHAnsi" w:hAnsiTheme="majorHAnsi" w:cstheme="majorHAnsi"/>
          <w:color w:val="0070C0"/>
          <w:sz w:val="24"/>
        </w:rPr>
        <w:t>perspektywy</w:t>
      </w:r>
      <w:r w:rsidR="00B262BE">
        <w:rPr>
          <w:rStyle w:val="Odwoanieprzypisudolnego"/>
          <w:rFonts w:asciiTheme="majorHAnsi" w:hAnsiTheme="majorHAnsi" w:cstheme="majorHAnsi"/>
          <w:color w:val="0070C0"/>
          <w:sz w:val="24"/>
        </w:rPr>
        <w:footnoteReference w:id="9"/>
      </w:r>
    </w:p>
    <w:bookmarkStart w:id="6" w:name="_MON_1661609318"/>
    <w:bookmarkEnd w:id="6"/>
    <w:p w14:paraId="59F97174" w14:textId="173F9058" w:rsidR="00026264" w:rsidRDefault="00EA48BB" w:rsidP="00542F3E">
      <w:pPr>
        <w:jc w:val="both"/>
      </w:pPr>
      <w:r w:rsidRPr="007F5381">
        <w:object w:dxaOrig="14192" w:dyaOrig="5296" w14:anchorId="55AB0D5F">
          <v:shape id="_x0000_i1027" type="#_x0000_t75" style="width:591.8pt;height:261.1pt" o:ole="">
            <v:imagedata r:id="rId23" o:title=""/>
          </v:shape>
          <o:OLEObject Type="Embed" ProgID="Excel.Sheet.12" ShapeID="_x0000_i1027" DrawAspect="Content" ObjectID="_1666518689" r:id="rId24"/>
        </w:object>
      </w:r>
    </w:p>
    <w:p w14:paraId="111F155D" w14:textId="57D31C90" w:rsidR="00026264" w:rsidRDefault="00026264" w:rsidP="006A238A">
      <w:pPr>
        <w:spacing w:before="240"/>
        <w:sectPr w:rsidR="00026264" w:rsidSect="00B65EEE">
          <w:headerReference w:type="even" r:id="rId25"/>
          <w:headerReference w:type="default" r:id="rId26"/>
          <w:headerReference w:type="first" r:id="rId27"/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0834AA1" w14:textId="197A3B05" w:rsidR="00673D51" w:rsidRPr="0087091C" w:rsidRDefault="00673D51" w:rsidP="004B24F9">
      <w:pPr>
        <w:pStyle w:val="Nagwek1"/>
        <w:numPr>
          <w:ilvl w:val="0"/>
          <w:numId w:val="19"/>
        </w:numPr>
        <w:spacing w:after="240"/>
        <w:ind w:left="993" w:hanging="426"/>
        <w:rPr>
          <w:rFonts w:eastAsiaTheme="minorEastAsia"/>
          <w:b/>
        </w:rPr>
      </w:pPr>
      <w:bookmarkStart w:id="7" w:name="_Toc55888885"/>
      <w:r w:rsidRPr="0087091C">
        <w:rPr>
          <w:rFonts w:eastAsiaTheme="minorEastAsia"/>
          <w:b/>
        </w:rPr>
        <w:lastRenderedPageBreak/>
        <w:t>Podział środków Funduszu Sprawiedliwej Transformacji</w:t>
      </w:r>
      <w:bookmarkEnd w:id="7"/>
    </w:p>
    <w:p w14:paraId="77D2E504" w14:textId="77777777" w:rsidR="00673D51" w:rsidRPr="00814F82" w:rsidRDefault="00673D51" w:rsidP="00673D51">
      <w:pPr>
        <w:jc w:val="both"/>
      </w:pPr>
      <w:r w:rsidRPr="00814F82">
        <w:t xml:space="preserve">Zgodnie z rozporządzeniem </w:t>
      </w:r>
      <w:r>
        <w:t>dot</w:t>
      </w:r>
      <w:r w:rsidRPr="00814F82">
        <w:t>. Just Transition Fund, środki w ramach tego funduszu muszą być programowane poprzez terytorialne plany transformacji na p</w:t>
      </w:r>
      <w:r w:rsidR="00B262BE">
        <w:t>oziomie podregionów (NUTS 3). W </w:t>
      </w:r>
      <w:r w:rsidRPr="00814F82">
        <w:t>związku z tym, algorytm podziału środków dzieli fun</w:t>
      </w:r>
      <w:r>
        <w:t>dusz między podregiony (NUTS 3) i j</w:t>
      </w:r>
      <w:r w:rsidRPr="00814F82">
        <w:t>es</w:t>
      </w:r>
      <w:r w:rsidR="00B262BE">
        <w:t>t w </w:t>
      </w:r>
      <w:r w:rsidRPr="00814F82">
        <w:t>dużej mierze oparty o metodę podziału między p.cz. zaproponowaną przez KE.</w:t>
      </w:r>
    </w:p>
    <w:p w14:paraId="70A8C542" w14:textId="77777777" w:rsidR="00673D51" w:rsidRPr="00814F82" w:rsidRDefault="00673D51" w:rsidP="00673D51">
      <w:pPr>
        <w:jc w:val="both"/>
      </w:pPr>
      <w:r w:rsidRPr="00814F82">
        <w:t>Do podziału wykorzystywanych jest siedem wskaźników społeczno-gospodarczych:</w:t>
      </w:r>
    </w:p>
    <w:p w14:paraId="15A46A18" w14:textId="77777777" w:rsidR="00673D51" w:rsidRPr="00814F82" w:rsidRDefault="00673D51" w:rsidP="00673D51">
      <w:pPr>
        <w:numPr>
          <w:ilvl w:val="0"/>
          <w:numId w:val="21"/>
        </w:numPr>
        <w:contextualSpacing/>
        <w:jc w:val="both"/>
      </w:pPr>
      <w:r w:rsidRPr="00814F82">
        <w:t>Stan ludności,</w:t>
      </w:r>
    </w:p>
    <w:p w14:paraId="5F86CA99" w14:textId="77777777" w:rsidR="00673D51" w:rsidRPr="00814F82" w:rsidRDefault="00673D51" w:rsidP="00673D51">
      <w:pPr>
        <w:numPr>
          <w:ilvl w:val="0"/>
          <w:numId w:val="21"/>
        </w:numPr>
        <w:contextualSpacing/>
        <w:jc w:val="both"/>
      </w:pPr>
      <w:r w:rsidRPr="00814F82">
        <w:t>Emisja zanieczyszczeń pyłowych przez zakłady uciążliwe,</w:t>
      </w:r>
    </w:p>
    <w:p w14:paraId="51172C0B" w14:textId="77777777" w:rsidR="00673D51" w:rsidRPr="00814F82" w:rsidRDefault="00673D51" w:rsidP="00673D51">
      <w:pPr>
        <w:numPr>
          <w:ilvl w:val="0"/>
          <w:numId w:val="21"/>
        </w:numPr>
        <w:contextualSpacing/>
        <w:jc w:val="both"/>
      </w:pPr>
      <w:r w:rsidRPr="00814F82">
        <w:t>Zatrudnienie w przemyśle,</w:t>
      </w:r>
    </w:p>
    <w:p w14:paraId="01018162" w14:textId="77777777" w:rsidR="00673D51" w:rsidRPr="00814F82" w:rsidRDefault="00673D51" w:rsidP="00673D51">
      <w:pPr>
        <w:numPr>
          <w:ilvl w:val="0"/>
          <w:numId w:val="21"/>
        </w:numPr>
        <w:contextualSpacing/>
        <w:jc w:val="both"/>
      </w:pPr>
      <w:r w:rsidRPr="00814F82">
        <w:t>Zatrudnienie w górnictwie</w:t>
      </w:r>
      <w:r w:rsidRPr="00814F82">
        <w:rPr>
          <w:vertAlign w:val="superscript"/>
        </w:rPr>
        <w:footnoteReference w:id="10"/>
      </w:r>
      <w:r w:rsidRPr="00814F82">
        <w:t>,</w:t>
      </w:r>
    </w:p>
    <w:p w14:paraId="31CD48D8" w14:textId="77777777" w:rsidR="00673D51" w:rsidRPr="00814F82" w:rsidRDefault="00673D51" w:rsidP="00673D51">
      <w:pPr>
        <w:numPr>
          <w:ilvl w:val="0"/>
          <w:numId w:val="21"/>
        </w:numPr>
        <w:contextualSpacing/>
        <w:jc w:val="both"/>
      </w:pPr>
      <w:r w:rsidRPr="00814F82">
        <w:t>Liczba bezrobotnych,</w:t>
      </w:r>
    </w:p>
    <w:p w14:paraId="2B7061CF" w14:textId="77777777" w:rsidR="00673D51" w:rsidRPr="00814F82" w:rsidRDefault="00673D51" w:rsidP="00673D51">
      <w:pPr>
        <w:numPr>
          <w:ilvl w:val="0"/>
          <w:numId w:val="21"/>
        </w:numPr>
        <w:contextualSpacing/>
        <w:jc w:val="both"/>
      </w:pPr>
      <w:r w:rsidRPr="00814F82">
        <w:t>Liczba beneficjentów pomocy społecznej,</w:t>
      </w:r>
    </w:p>
    <w:p w14:paraId="1165114A" w14:textId="77777777" w:rsidR="00673D51" w:rsidRPr="00814F82" w:rsidRDefault="00673D51" w:rsidP="00673D51">
      <w:pPr>
        <w:numPr>
          <w:ilvl w:val="0"/>
          <w:numId w:val="21"/>
        </w:numPr>
        <w:ind w:left="714" w:hanging="357"/>
        <w:jc w:val="both"/>
      </w:pPr>
      <w:r w:rsidRPr="00814F82">
        <w:t>Nowopowstałe przedsiębiorstwa</w:t>
      </w:r>
      <w:r w:rsidRPr="00814F82">
        <w:rPr>
          <w:vertAlign w:val="superscript"/>
        </w:rPr>
        <w:footnoteReference w:id="11"/>
      </w:r>
      <w:r w:rsidRPr="00814F82">
        <w:t>.</w:t>
      </w:r>
    </w:p>
    <w:p w14:paraId="6D54FFDC" w14:textId="77777777" w:rsidR="00673D51" w:rsidRPr="00814F82" w:rsidRDefault="00673D51" w:rsidP="00673D51">
      <w:pPr>
        <w:jc w:val="both"/>
      </w:pPr>
      <w:r w:rsidRPr="00814F82">
        <w:t xml:space="preserve">Tak dobrane wskaźniki pozwalają najlepiej oddać potrzeby i możliwości absorbcji środków w ramach </w:t>
      </w:r>
      <w:r>
        <w:t>FST</w:t>
      </w:r>
      <w:r w:rsidRPr="00814F82">
        <w:t xml:space="preserve"> w poszczególnych regionach.</w:t>
      </w:r>
    </w:p>
    <w:p w14:paraId="70E8976A" w14:textId="5ED9CDE7" w:rsidR="00673D51" w:rsidRPr="00814F82" w:rsidRDefault="00673D51" w:rsidP="00673D51">
      <w:pPr>
        <w:jc w:val="both"/>
      </w:pPr>
      <w:r w:rsidRPr="00814F82">
        <w:t xml:space="preserve">Dla zachowania porównywalności między wskaźnikami, wartości liczbowe są przeliczane na udziały procentowe każdego podregionu w sumarycznej wartości wskaźnika dla wszystkich objętych </w:t>
      </w:r>
      <w:r>
        <w:t>FST</w:t>
      </w:r>
      <w:r w:rsidRPr="00814F82">
        <w:t xml:space="preserve"> podregionów. Dzięki temu można wyliczyć udziały regionów w puli środków na </w:t>
      </w:r>
      <w:r>
        <w:t>FST</w:t>
      </w:r>
      <w:r w:rsidRPr="00814F82">
        <w:t>.</w:t>
      </w:r>
    </w:p>
    <w:p w14:paraId="2CDA5A6A" w14:textId="64CE3C18" w:rsidR="00302B7B" w:rsidRDefault="00673D51">
      <w:pPr>
        <w:jc w:val="both"/>
      </w:pPr>
      <w:r w:rsidRPr="00814F82">
        <w:t>Poniższ</w:t>
      </w:r>
      <w:r w:rsidR="000D45F7">
        <w:t>a</w:t>
      </w:r>
      <w:r w:rsidRPr="00814F82">
        <w:t xml:space="preserve"> tabel</w:t>
      </w:r>
      <w:r w:rsidR="00957936">
        <w:t>a</w:t>
      </w:r>
      <w:r w:rsidRPr="00814F82">
        <w:t xml:space="preserve"> prezentuj</w:t>
      </w:r>
      <w:r w:rsidR="00957936">
        <w:t>e</w:t>
      </w:r>
      <w:r w:rsidRPr="00814F82">
        <w:t xml:space="preserve"> wyniki podziału przy użyciu opisanej powyżej metody.</w:t>
      </w:r>
      <w:r w:rsidR="000D45F7">
        <w:t xml:space="preserve"> </w:t>
      </w:r>
      <w:r w:rsidR="00094344">
        <w:t>Podziału dokonano m</w:t>
      </w:r>
      <w:r w:rsidR="00957936">
        <w:t>iędzy regiony NUTS3 znajdujące</w:t>
      </w:r>
      <w:r w:rsidR="00094344">
        <w:t xml:space="preserve"> się w trzech wskazanych przez KE regionach NUTS2 oraz dwa dodatkowe zdiagnozowane jako regiony o wysokich potrzebach związanych z transformacją energetyczną (małopolskie i łódzkie). </w:t>
      </w:r>
    </w:p>
    <w:p w14:paraId="5056F955" w14:textId="0B4C1A80" w:rsidR="00F40D2A" w:rsidRPr="00814F82" w:rsidRDefault="00957936">
      <w:pPr>
        <w:jc w:val="both"/>
      </w:pPr>
      <w:r>
        <w:t xml:space="preserve">Do podziału na poziomie krajowym pozostawiono kwotę w wysokości </w:t>
      </w:r>
      <w:r w:rsidR="00094344">
        <w:t>0,5 mld euro</w:t>
      </w:r>
      <w:r>
        <w:t>, pochodzącą z transferu z alokacji polityki spójności</w:t>
      </w:r>
      <w:r w:rsidR="00302B7B">
        <w:t>.</w:t>
      </w:r>
    </w:p>
    <w:p w14:paraId="732DD600" w14:textId="613C21D0" w:rsidR="00673D51" w:rsidRPr="00814F82" w:rsidRDefault="00267E73" w:rsidP="00FA3F8D">
      <w:pPr>
        <w:jc w:val="both"/>
      </w:pPr>
      <w:r>
        <w:br w:type="column"/>
      </w:r>
      <w:r w:rsidR="00673D51">
        <w:lastRenderedPageBreak/>
        <w:t>Podział środków</w:t>
      </w:r>
      <w:r w:rsidR="00673D51" w:rsidRPr="00814F82">
        <w:t xml:space="preserve"> </w:t>
      </w:r>
      <w:r w:rsidR="00673D51">
        <w:t>FST</w:t>
      </w:r>
      <w:r w:rsidR="00673D51" w:rsidRPr="00814F82">
        <w:t xml:space="preserve"> </w:t>
      </w:r>
      <w:r w:rsidR="00673D51">
        <w:t xml:space="preserve">na regiony </w:t>
      </w:r>
    </w:p>
    <w:tbl>
      <w:tblPr>
        <w:tblStyle w:val="redniecieniowanie1"/>
        <w:tblW w:w="7537" w:type="dxa"/>
        <w:jc w:val="center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783"/>
        <w:gridCol w:w="1436"/>
        <w:gridCol w:w="2010"/>
        <w:gridCol w:w="1308"/>
      </w:tblGrid>
      <w:tr w:rsidR="00957936" w:rsidRPr="00814F82" w14:paraId="2F49CB60" w14:textId="77777777" w:rsidTr="00957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70AD47" w:themeFill="accent6"/>
            <w:hideMark/>
          </w:tcPr>
          <w:p w14:paraId="4077C10D" w14:textId="5AEA25C4" w:rsidR="000D45F7" w:rsidRPr="00814F82" w:rsidRDefault="000D45F7" w:rsidP="0003132B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D3CEE">
              <w:t>Region /podregion</w:t>
            </w:r>
          </w:p>
        </w:tc>
        <w:tc>
          <w:tcPr>
            <w:tcW w:w="1436" w:type="dxa"/>
            <w:shd w:val="clear" w:color="auto" w:fill="70AD47" w:themeFill="accent6"/>
            <w:hideMark/>
          </w:tcPr>
          <w:p w14:paraId="4D35DDB9" w14:textId="52389F51" w:rsidR="000D45F7" w:rsidRPr="00814F82" w:rsidRDefault="000D45F7" w:rsidP="00031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D3CEE">
              <w:t>Alokacja [mln euro]</w:t>
            </w:r>
          </w:p>
        </w:tc>
        <w:tc>
          <w:tcPr>
            <w:tcW w:w="2010" w:type="dxa"/>
            <w:shd w:val="clear" w:color="auto" w:fill="70AD47" w:themeFill="accent6"/>
            <w:hideMark/>
          </w:tcPr>
          <w:p w14:paraId="2687DF6B" w14:textId="6144CBF4" w:rsidR="000D45F7" w:rsidRPr="00814F82" w:rsidRDefault="000D45F7" w:rsidP="00031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D3CEE">
              <w:t>Alokacja per capita [euro]</w:t>
            </w:r>
          </w:p>
        </w:tc>
        <w:tc>
          <w:tcPr>
            <w:tcW w:w="1308" w:type="dxa"/>
            <w:shd w:val="clear" w:color="auto" w:fill="70AD47" w:themeFill="accent6"/>
            <w:hideMark/>
          </w:tcPr>
          <w:p w14:paraId="4592E436" w14:textId="1D46FC90" w:rsidR="000D45F7" w:rsidRPr="00814F82" w:rsidRDefault="000D45F7" w:rsidP="00031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D3CEE">
              <w:t>Udziały [%]</w:t>
            </w:r>
          </w:p>
        </w:tc>
      </w:tr>
      <w:tr w:rsidR="00957936" w:rsidRPr="00814F82" w14:paraId="13BE53EF" w14:textId="77777777" w:rsidTr="00957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C5E0B3" w:themeFill="accent6" w:themeFillTint="66"/>
            <w:noWrap/>
            <w:hideMark/>
          </w:tcPr>
          <w:p w14:paraId="3D0C00F6" w14:textId="4753DFC7" w:rsidR="007C160F" w:rsidRPr="00FA3F8D" w:rsidRDefault="007C160F" w:rsidP="008B14F1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F15C2">
              <w:t>Małopolskie</w:t>
            </w:r>
          </w:p>
        </w:tc>
        <w:tc>
          <w:tcPr>
            <w:tcW w:w="1436" w:type="dxa"/>
            <w:shd w:val="clear" w:color="auto" w:fill="C5E0B3" w:themeFill="accent6" w:themeFillTint="66"/>
            <w:noWrap/>
            <w:hideMark/>
          </w:tcPr>
          <w:p w14:paraId="108DA41A" w14:textId="77BCA95C" w:rsidR="007C160F" w:rsidRPr="00302B7B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57936">
              <w:rPr>
                <w:b/>
              </w:rPr>
              <w:t>236,1</w:t>
            </w:r>
          </w:p>
        </w:tc>
        <w:tc>
          <w:tcPr>
            <w:tcW w:w="2010" w:type="dxa"/>
            <w:shd w:val="clear" w:color="auto" w:fill="C5E0B3" w:themeFill="accent6" w:themeFillTint="66"/>
            <w:noWrap/>
            <w:hideMark/>
          </w:tcPr>
          <w:p w14:paraId="24DD3EE8" w14:textId="1BBA26FC" w:rsidR="007C160F" w:rsidRPr="00302B7B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57936">
              <w:rPr>
                <w:b/>
              </w:rPr>
              <w:t>427,3</w:t>
            </w:r>
          </w:p>
        </w:tc>
        <w:tc>
          <w:tcPr>
            <w:tcW w:w="1308" w:type="dxa"/>
            <w:shd w:val="clear" w:color="auto" w:fill="C5E0B3" w:themeFill="accent6" w:themeFillTint="66"/>
            <w:noWrap/>
            <w:hideMark/>
          </w:tcPr>
          <w:p w14:paraId="56C30C5E" w14:textId="4F764F10" w:rsidR="007C160F" w:rsidRPr="00302B7B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57936">
              <w:rPr>
                <w:b/>
              </w:rPr>
              <w:t>6,3%</w:t>
            </w:r>
          </w:p>
        </w:tc>
      </w:tr>
      <w:tr w:rsidR="00957936" w:rsidRPr="00814F82" w14:paraId="41A3CE4F" w14:textId="77777777" w:rsidTr="009579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noWrap/>
            <w:hideMark/>
          </w:tcPr>
          <w:p w14:paraId="07A6ACE1" w14:textId="08C3F787" w:rsidR="007C160F" w:rsidRPr="000D45F7" w:rsidRDefault="007C160F" w:rsidP="008B14F1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302B7B">
              <w:t>Oświęcimski</w:t>
            </w:r>
          </w:p>
        </w:tc>
        <w:tc>
          <w:tcPr>
            <w:tcW w:w="1436" w:type="dxa"/>
            <w:noWrap/>
            <w:hideMark/>
          </w:tcPr>
          <w:p w14:paraId="2042D7EE" w14:textId="60FB99EF" w:rsidR="007C160F" w:rsidRPr="008B14F1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F15C2">
              <w:t>236,1</w:t>
            </w:r>
          </w:p>
        </w:tc>
        <w:tc>
          <w:tcPr>
            <w:tcW w:w="2010" w:type="dxa"/>
            <w:noWrap/>
            <w:hideMark/>
          </w:tcPr>
          <w:p w14:paraId="3F629509" w14:textId="2F4D3FE4" w:rsidR="007C160F" w:rsidRPr="008B14F1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F15C2">
              <w:t>427,3</w:t>
            </w:r>
          </w:p>
        </w:tc>
        <w:tc>
          <w:tcPr>
            <w:tcW w:w="1308" w:type="dxa"/>
            <w:noWrap/>
            <w:hideMark/>
          </w:tcPr>
          <w:p w14:paraId="43FC505D" w14:textId="4198CE0B" w:rsidR="007C160F" w:rsidRPr="008B14F1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66FC2">
              <w:t>6,3%</w:t>
            </w:r>
          </w:p>
        </w:tc>
      </w:tr>
      <w:tr w:rsidR="00957936" w:rsidRPr="00814F82" w14:paraId="4C4C7742" w14:textId="77777777" w:rsidTr="00957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C5E0B3" w:themeFill="accent6" w:themeFillTint="66"/>
            <w:noWrap/>
            <w:hideMark/>
          </w:tcPr>
          <w:p w14:paraId="442E9453" w14:textId="1E254906" w:rsidR="007C160F" w:rsidRPr="00FA3F8D" w:rsidRDefault="007C160F" w:rsidP="008B14F1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F15C2">
              <w:t>Śląskie</w:t>
            </w:r>
          </w:p>
        </w:tc>
        <w:tc>
          <w:tcPr>
            <w:tcW w:w="1436" w:type="dxa"/>
            <w:shd w:val="clear" w:color="auto" w:fill="C5E0B3" w:themeFill="accent6" w:themeFillTint="66"/>
            <w:noWrap/>
            <w:hideMark/>
          </w:tcPr>
          <w:p w14:paraId="49FD1602" w14:textId="37866BC5" w:rsidR="007C160F" w:rsidRPr="00302B7B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57936">
              <w:rPr>
                <w:b/>
              </w:rPr>
              <w:t>1</w:t>
            </w:r>
            <w:r w:rsidR="00957936">
              <w:rPr>
                <w:b/>
              </w:rPr>
              <w:t xml:space="preserve"> </w:t>
            </w:r>
            <w:r w:rsidRPr="00957936">
              <w:rPr>
                <w:b/>
              </w:rPr>
              <w:t>942,1</w:t>
            </w:r>
          </w:p>
        </w:tc>
        <w:tc>
          <w:tcPr>
            <w:tcW w:w="2010" w:type="dxa"/>
            <w:shd w:val="clear" w:color="auto" w:fill="C5E0B3" w:themeFill="accent6" w:themeFillTint="66"/>
            <w:noWrap/>
            <w:hideMark/>
          </w:tcPr>
          <w:p w14:paraId="0D422D1C" w14:textId="21253499" w:rsidR="007C160F" w:rsidRPr="00302B7B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57936">
              <w:rPr>
                <w:b/>
              </w:rPr>
              <w:t>481,7</w:t>
            </w:r>
          </w:p>
        </w:tc>
        <w:tc>
          <w:tcPr>
            <w:tcW w:w="1308" w:type="dxa"/>
            <w:shd w:val="clear" w:color="auto" w:fill="C5E0B3" w:themeFill="accent6" w:themeFillTint="66"/>
            <w:noWrap/>
            <w:hideMark/>
          </w:tcPr>
          <w:p w14:paraId="3EC9519B" w14:textId="2B5F861C" w:rsidR="007C160F" w:rsidRPr="00302B7B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57936">
              <w:rPr>
                <w:b/>
              </w:rPr>
              <w:t>51,8%</w:t>
            </w:r>
          </w:p>
        </w:tc>
      </w:tr>
      <w:tr w:rsidR="00957936" w:rsidRPr="00814F82" w14:paraId="4820ED89" w14:textId="77777777" w:rsidTr="009579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FFFFFF" w:themeFill="background1"/>
            <w:noWrap/>
            <w:hideMark/>
          </w:tcPr>
          <w:p w14:paraId="2C87F18D" w14:textId="0AA8A050" w:rsidR="007C160F" w:rsidRPr="00302B7B" w:rsidRDefault="007C160F" w:rsidP="008B14F1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302B7B">
              <w:t>Bielski</w:t>
            </w:r>
          </w:p>
        </w:tc>
        <w:tc>
          <w:tcPr>
            <w:tcW w:w="1436" w:type="dxa"/>
            <w:shd w:val="clear" w:color="auto" w:fill="FFFFFF" w:themeFill="background1"/>
            <w:noWrap/>
            <w:hideMark/>
          </w:tcPr>
          <w:p w14:paraId="764A6824" w14:textId="021AE320" w:rsidR="007C160F" w:rsidRPr="008B14F1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F15C2">
              <w:t>262,1</w:t>
            </w:r>
          </w:p>
        </w:tc>
        <w:tc>
          <w:tcPr>
            <w:tcW w:w="2010" w:type="dxa"/>
            <w:shd w:val="clear" w:color="auto" w:fill="FFFFFF" w:themeFill="background1"/>
            <w:noWrap/>
            <w:hideMark/>
          </w:tcPr>
          <w:p w14:paraId="1F8A1694" w14:textId="5C87EFBB" w:rsidR="007C160F" w:rsidRPr="008B14F1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F15C2">
              <w:t>392,9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F90FC04" w14:textId="6604C01C" w:rsidR="007C160F" w:rsidRPr="008B14F1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66FC2">
              <w:t>7,0%</w:t>
            </w:r>
          </w:p>
        </w:tc>
      </w:tr>
      <w:tr w:rsidR="00957936" w:rsidRPr="00814F82" w14:paraId="68B1709C" w14:textId="77777777" w:rsidTr="00957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FFFFFF" w:themeFill="background1"/>
            <w:noWrap/>
            <w:hideMark/>
          </w:tcPr>
          <w:p w14:paraId="32457092" w14:textId="5F4AE795" w:rsidR="007C160F" w:rsidRPr="00302B7B" w:rsidRDefault="007C160F" w:rsidP="008B14F1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302B7B">
              <w:t>Rybnicki</w:t>
            </w:r>
          </w:p>
        </w:tc>
        <w:tc>
          <w:tcPr>
            <w:tcW w:w="1436" w:type="dxa"/>
            <w:shd w:val="clear" w:color="auto" w:fill="FFFFFF" w:themeFill="background1"/>
            <w:noWrap/>
            <w:hideMark/>
          </w:tcPr>
          <w:p w14:paraId="2CFC55AD" w14:textId="57A3312B" w:rsidR="007C160F" w:rsidRPr="008B14F1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F15C2">
              <w:t>293,3</w:t>
            </w:r>
          </w:p>
        </w:tc>
        <w:tc>
          <w:tcPr>
            <w:tcW w:w="2010" w:type="dxa"/>
            <w:shd w:val="clear" w:color="auto" w:fill="FFFFFF" w:themeFill="background1"/>
            <w:noWrap/>
            <w:hideMark/>
          </w:tcPr>
          <w:p w14:paraId="676F9002" w14:textId="2AA229FF" w:rsidR="007C160F" w:rsidRPr="008B14F1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F15C2">
              <w:t>461,5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3DF4857A" w14:textId="2A31DA47" w:rsidR="007C160F" w:rsidRPr="008B14F1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66FC2">
              <w:t>7,8%</w:t>
            </w:r>
          </w:p>
        </w:tc>
      </w:tr>
      <w:tr w:rsidR="00957936" w:rsidRPr="00814F82" w14:paraId="19C53509" w14:textId="77777777" w:rsidTr="009579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FFFFFF" w:themeFill="background1"/>
            <w:noWrap/>
            <w:hideMark/>
          </w:tcPr>
          <w:p w14:paraId="7A3A01F6" w14:textId="558FA9F0" w:rsidR="007C160F" w:rsidRPr="00302B7B" w:rsidRDefault="007C160F" w:rsidP="008B14F1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302B7B">
              <w:t>Bytomski</w:t>
            </w:r>
          </w:p>
        </w:tc>
        <w:tc>
          <w:tcPr>
            <w:tcW w:w="1436" w:type="dxa"/>
            <w:shd w:val="clear" w:color="auto" w:fill="FFFFFF" w:themeFill="background1"/>
            <w:noWrap/>
            <w:hideMark/>
          </w:tcPr>
          <w:p w14:paraId="1E6A2CC9" w14:textId="0377355B" w:rsidR="007C160F" w:rsidRPr="008B14F1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F15C2">
              <w:t>193,1</w:t>
            </w:r>
          </w:p>
        </w:tc>
        <w:tc>
          <w:tcPr>
            <w:tcW w:w="2010" w:type="dxa"/>
            <w:shd w:val="clear" w:color="auto" w:fill="FFFFFF" w:themeFill="background1"/>
            <w:noWrap/>
            <w:hideMark/>
          </w:tcPr>
          <w:p w14:paraId="6A44DC94" w14:textId="0F469D62" w:rsidR="007C160F" w:rsidRPr="008B14F1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F15C2">
              <w:t>438,7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ECF177E" w14:textId="23106A5B" w:rsidR="007C160F" w:rsidRPr="008B14F1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66FC2">
              <w:t>5,1%</w:t>
            </w:r>
          </w:p>
        </w:tc>
      </w:tr>
      <w:tr w:rsidR="00957936" w:rsidRPr="00814F82" w14:paraId="09F223E4" w14:textId="77777777" w:rsidTr="00957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FFFFFF" w:themeFill="background1"/>
            <w:noWrap/>
            <w:hideMark/>
          </w:tcPr>
          <w:p w14:paraId="3D906247" w14:textId="47CCEFE9" w:rsidR="007C160F" w:rsidRPr="00302B7B" w:rsidRDefault="007C160F" w:rsidP="008B14F1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302B7B">
              <w:t>Gliwicki</w:t>
            </w:r>
          </w:p>
        </w:tc>
        <w:tc>
          <w:tcPr>
            <w:tcW w:w="1436" w:type="dxa"/>
            <w:shd w:val="clear" w:color="auto" w:fill="FFFFFF" w:themeFill="background1"/>
            <w:noWrap/>
            <w:hideMark/>
          </w:tcPr>
          <w:p w14:paraId="6717069F" w14:textId="1C1CA918" w:rsidR="007C160F" w:rsidRPr="008B14F1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F15C2">
              <w:t>210,2</w:t>
            </w:r>
          </w:p>
        </w:tc>
        <w:tc>
          <w:tcPr>
            <w:tcW w:w="2010" w:type="dxa"/>
            <w:shd w:val="clear" w:color="auto" w:fill="FFFFFF" w:themeFill="background1"/>
            <w:noWrap/>
            <w:hideMark/>
          </w:tcPr>
          <w:p w14:paraId="7965F0E1" w14:textId="128FC355" w:rsidR="007C160F" w:rsidRPr="008B14F1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F15C2">
              <w:t>446,1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56D6CFE3" w14:textId="30453D8A" w:rsidR="007C160F" w:rsidRPr="008B14F1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66FC2">
              <w:t>5,6%</w:t>
            </w:r>
          </w:p>
        </w:tc>
      </w:tr>
      <w:tr w:rsidR="00957936" w:rsidRPr="00814F82" w14:paraId="0B401304" w14:textId="77777777" w:rsidTr="009579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FFFFFF" w:themeFill="background1"/>
            <w:noWrap/>
            <w:hideMark/>
          </w:tcPr>
          <w:p w14:paraId="29578EF0" w14:textId="6B56B0AB" w:rsidR="007C160F" w:rsidRPr="00302B7B" w:rsidRDefault="007C160F" w:rsidP="008B14F1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302B7B">
              <w:t>Katowicki</w:t>
            </w:r>
          </w:p>
        </w:tc>
        <w:tc>
          <w:tcPr>
            <w:tcW w:w="1436" w:type="dxa"/>
            <w:shd w:val="clear" w:color="auto" w:fill="FFFFFF" w:themeFill="background1"/>
            <w:noWrap/>
            <w:hideMark/>
          </w:tcPr>
          <w:p w14:paraId="1F134E01" w14:textId="77C492A5" w:rsidR="007C160F" w:rsidRPr="008B14F1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F15C2">
              <w:t>284,1</w:t>
            </w:r>
          </w:p>
        </w:tc>
        <w:tc>
          <w:tcPr>
            <w:tcW w:w="2010" w:type="dxa"/>
            <w:shd w:val="clear" w:color="auto" w:fill="FFFFFF" w:themeFill="background1"/>
            <w:noWrap/>
            <w:hideMark/>
          </w:tcPr>
          <w:p w14:paraId="42A43469" w14:textId="4B3AADF7" w:rsidR="007C160F" w:rsidRPr="008B14F1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F15C2">
              <w:t>385,8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307B74E4" w14:textId="2530B778" w:rsidR="007C160F" w:rsidRPr="008B14F1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66FC2">
              <w:t>7,6%</w:t>
            </w:r>
          </w:p>
        </w:tc>
      </w:tr>
      <w:tr w:rsidR="00957936" w:rsidRPr="00814F82" w14:paraId="3967A781" w14:textId="77777777" w:rsidTr="00957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FFFFFF" w:themeFill="background1"/>
            <w:noWrap/>
            <w:hideMark/>
          </w:tcPr>
          <w:p w14:paraId="34263F2B" w14:textId="58FB4F28" w:rsidR="007C160F" w:rsidRPr="00302B7B" w:rsidRDefault="007C160F" w:rsidP="008B14F1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302B7B">
              <w:t>Sosnowiecki</w:t>
            </w:r>
          </w:p>
        </w:tc>
        <w:tc>
          <w:tcPr>
            <w:tcW w:w="1436" w:type="dxa"/>
            <w:shd w:val="clear" w:color="auto" w:fill="FFFFFF" w:themeFill="background1"/>
            <w:noWrap/>
            <w:hideMark/>
          </w:tcPr>
          <w:p w14:paraId="3A522FBC" w14:textId="3C18A632" w:rsidR="007C160F" w:rsidRPr="008B14F1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F15C2">
              <w:t>478,6</w:t>
            </w:r>
          </w:p>
        </w:tc>
        <w:tc>
          <w:tcPr>
            <w:tcW w:w="2010" w:type="dxa"/>
            <w:shd w:val="clear" w:color="auto" w:fill="FFFFFF" w:themeFill="background1"/>
            <w:noWrap/>
            <w:hideMark/>
          </w:tcPr>
          <w:p w14:paraId="7DFE1456" w14:textId="18AC9EE3" w:rsidR="007C160F" w:rsidRPr="008B14F1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F15C2">
              <w:t>698,1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175F2DAB" w14:textId="31583253" w:rsidR="007C160F" w:rsidRPr="008B14F1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66FC2">
              <w:t>12,8%</w:t>
            </w:r>
          </w:p>
        </w:tc>
      </w:tr>
      <w:tr w:rsidR="00957936" w:rsidRPr="00814F82" w14:paraId="12EB5504" w14:textId="77777777" w:rsidTr="009579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noWrap/>
            <w:hideMark/>
          </w:tcPr>
          <w:p w14:paraId="5891C40C" w14:textId="1F8F550C" w:rsidR="007C160F" w:rsidRPr="00302B7B" w:rsidRDefault="007C160F" w:rsidP="008B14F1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302B7B">
              <w:t>Tyski</w:t>
            </w:r>
          </w:p>
        </w:tc>
        <w:tc>
          <w:tcPr>
            <w:tcW w:w="1436" w:type="dxa"/>
            <w:noWrap/>
            <w:hideMark/>
          </w:tcPr>
          <w:p w14:paraId="6B1AE56F" w14:textId="58BE7E5B" w:rsidR="007C160F" w:rsidRPr="008B14F1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F15C2">
              <w:t>220,6</w:t>
            </w:r>
          </w:p>
        </w:tc>
        <w:tc>
          <w:tcPr>
            <w:tcW w:w="2010" w:type="dxa"/>
            <w:noWrap/>
            <w:hideMark/>
          </w:tcPr>
          <w:p w14:paraId="01E0D4CE" w14:textId="1F025076" w:rsidR="007C160F" w:rsidRPr="008B14F1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F15C2">
              <w:t>557,1</w:t>
            </w:r>
          </w:p>
        </w:tc>
        <w:tc>
          <w:tcPr>
            <w:tcW w:w="1308" w:type="dxa"/>
            <w:noWrap/>
            <w:hideMark/>
          </w:tcPr>
          <w:p w14:paraId="29509185" w14:textId="36D58BD2" w:rsidR="007C160F" w:rsidRPr="008B14F1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66FC2">
              <w:t>5,9%</w:t>
            </w:r>
          </w:p>
        </w:tc>
      </w:tr>
      <w:tr w:rsidR="00957936" w:rsidRPr="00814F82" w14:paraId="341AB232" w14:textId="77777777" w:rsidTr="00957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C5E0B3" w:themeFill="accent6" w:themeFillTint="66"/>
            <w:noWrap/>
            <w:hideMark/>
          </w:tcPr>
          <w:p w14:paraId="69293FAF" w14:textId="3961BFAC" w:rsidR="007C160F" w:rsidRPr="008B14F1" w:rsidRDefault="007C160F" w:rsidP="008B14F1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F15C2">
              <w:t>Wielkopolskie</w:t>
            </w:r>
          </w:p>
        </w:tc>
        <w:tc>
          <w:tcPr>
            <w:tcW w:w="1436" w:type="dxa"/>
            <w:shd w:val="clear" w:color="auto" w:fill="C5E0B3" w:themeFill="accent6" w:themeFillTint="66"/>
            <w:noWrap/>
            <w:hideMark/>
          </w:tcPr>
          <w:p w14:paraId="6E7D167B" w14:textId="7602EECA" w:rsidR="007C160F" w:rsidRPr="00302B7B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57936">
              <w:rPr>
                <w:b/>
              </w:rPr>
              <w:t>412,4</w:t>
            </w:r>
          </w:p>
        </w:tc>
        <w:tc>
          <w:tcPr>
            <w:tcW w:w="2010" w:type="dxa"/>
            <w:shd w:val="clear" w:color="auto" w:fill="C5E0B3" w:themeFill="accent6" w:themeFillTint="66"/>
            <w:noWrap/>
            <w:hideMark/>
          </w:tcPr>
          <w:p w14:paraId="4FD45AD4" w14:textId="698FBC42" w:rsidR="007C160F" w:rsidRPr="00302B7B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57936">
              <w:rPr>
                <w:b/>
              </w:rPr>
              <w:t>625,8</w:t>
            </w:r>
          </w:p>
        </w:tc>
        <w:tc>
          <w:tcPr>
            <w:tcW w:w="1308" w:type="dxa"/>
            <w:shd w:val="clear" w:color="auto" w:fill="C5E0B3" w:themeFill="accent6" w:themeFillTint="66"/>
            <w:noWrap/>
            <w:hideMark/>
          </w:tcPr>
          <w:p w14:paraId="20AD5175" w14:textId="4A361A00" w:rsidR="007C160F" w:rsidRPr="00302B7B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57936">
              <w:rPr>
                <w:b/>
              </w:rPr>
              <w:t>11,0%</w:t>
            </w:r>
          </w:p>
        </w:tc>
      </w:tr>
      <w:tr w:rsidR="00957936" w:rsidRPr="00814F82" w14:paraId="0CDEDEDF" w14:textId="77777777" w:rsidTr="009579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noWrap/>
            <w:hideMark/>
          </w:tcPr>
          <w:p w14:paraId="7F3306F2" w14:textId="18904CAA" w:rsidR="007C160F" w:rsidRPr="00302B7B" w:rsidRDefault="007C160F" w:rsidP="008B14F1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302B7B">
              <w:t>Koniński</w:t>
            </w:r>
          </w:p>
        </w:tc>
        <w:tc>
          <w:tcPr>
            <w:tcW w:w="1436" w:type="dxa"/>
            <w:noWrap/>
            <w:hideMark/>
          </w:tcPr>
          <w:p w14:paraId="639E697F" w14:textId="72D9E75A" w:rsidR="007C160F" w:rsidRPr="008B14F1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F15C2">
              <w:t>412,4</w:t>
            </w:r>
          </w:p>
        </w:tc>
        <w:tc>
          <w:tcPr>
            <w:tcW w:w="2010" w:type="dxa"/>
            <w:noWrap/>
            <w:hideMark/>
          </w:tcPr>
          <w:p w14:paraId="4F422971" w14:textId="2C8D607B" w:rsidR="007C160F" w:rsidRPr="008B14F1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F15C2">
              <w:t>625,8</w:t>
            </w:r>
          </w:p>
        </w:tc>
        <w:tc>
          <w:tcPr>
            <w:tcW w:w="1308" w:type="dxa"/>
            <w:noWrap/>
            <w:hideMark/>
          </w:tcPr>
          <w:p w14:paraId="383CBB01" w14:textId="46BB2108" w:rsidR="007C160F" w:rsidRPr="008B14F1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66FC2">
              <w:t>11,0%</w:t>
            </w:r>
          </w:p>
        </w:tc>
      </w:tr>
      <w:tr w:rsidR="00957936" w:rsidRPr="00814F82" w14:paraId="21AC9E8B" w14:textId="77777777" w:rsidTr="00957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C5E0B3" w:themeFill="accent6" w:themeFillTint="66"/>
            <w:noWrap/>
            <w:hideMark/>
          </w:tcPr>
          <w:p w14:paraId="5D18CBC1" w14:textId="13EEFB4A" w:rsidR="007C160F" w:rsidRPr="008B14F1" w:rsidRDefault="007C160F" w:rsidP="008B14F1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F15C2">
              <w:t>Dolnośląskie</w:t>
            </w:r>
          </w:p>
        </w:tc>
        <w:tc>
          <w:tcPr>
            <w:tcW w:w="1436" w:type="dxa"/>
            <w:shd w:val="clear" w:color="auto" w:fill="C5E0B3" w:themeFill="accent6" w:themeFillTint="66"/>
            <w:noWrap/>
            <w:hideMark/>
          </w:tcPr>
          <w:p w14:paraId="1B4D948A" w14:textId="522AEF05" w:rsidR="007C160F" w:rsidRPr="00302B7B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57936">
              <w:rPr>
                <w:b/>
              </w:rPr>
              <w:t>577,8</w:t>
            </w:r>
          </w:p>
        </w:tc>
        <w:tc>
          <w:tcPr>
            <w:tcW w:w="2010" w:type="dxa"/>
            <w:shd w:val="clear" w:color="auto" w:fill="C5E0B3" w:themeFill="accent6" w:themeFillTint="66"/>
            <w:noWrap/>
            <w:hideMark/>
          </w:tcPr>
          <w:p w14:paraId="0A483B6B" w14:textId="542061F1" w:rsidR="007C160F" w:rsidRPr="00302B7B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57936">
              <w:rPr>
                <w:b/>
              </w:rPr>
              <w:t>472,7</w:t>
            </w:r>
          </w:p>
        </w:tc>
        <w:tc>
          <w:tcPr>
            <w:tcW w:w="1308" w:type="dxa"/>
            <w:shd w:val="clear" w:color="auto" w:fill="C5E0B3" w:themeFill="accent6" w:themeFillTint="66"/>
            <w:noWrap/>
            <w:hideMark/>
          </w:tcPr>
          <w:p w14:paraId="101C1DB7" w14:textId="795A2D32" w:rsidR="007C160F" w:rsidRPr="00302B7B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57936">
              <w:rPr>
                <w:b/>
              </w:rPr>
              <w:t>15,4%</w:t>
            </w:r>
          </w:p>
        </w:tc>
      </w:tr>
      <w:tr w:rsidR="00957936" w:rsidRPr="00814F82" w14:paraId="6ED4CB9B" w14:textId="77777777" w:rsidTr="009579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tcBorders>
              <w:bottom w:val="single" w:sz="4" w:space="0" w:color="70AD47" w:themeColor="accent6"/>
            </w:tcBorders>
            <w:noWrap/>
            <w:hideMark/>
          </w:tcPr>
          <w:p w14:paraId="764B02A6" w14:textId="1384BE6B" w:rsidR="007C160F" w:rsidRPr="00302B7B" w:rsidRDefault="007C160F" w:rsidP="008B14F1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302B7B">
              <w:t>Jeleniogórski</w:t>
            </w:r>
          </w:p>
        </w:tc>
        <w:tc>
          <w:tcPr>
            <w:tcW w:w="1436" w:type="dxa"/>
            <w:tcBorders>
              <w:bottom w:val="single" w:sz="4" w:space="0" w:color="70AD47" w:themeColor="accent6"/>
            </w:tcBorders>
            <w:noWrap/>
            <w:hideMark/>
          </w:tcPr>
          <w:p w14:paraId="36B19770" w14:textId="6689CE09" w:rsidR="007C160F" w:rsidRPr="008B14F1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F15C2">
              <w:t>249,3</w:t>
            </w:r>
          </w:p>
        </w:tc>
        <w:tc>
          <w:tcPr>
            <w:tcW w:w="2010" w:type="dxa"/>
            <w:tcBorders>
              <w:bottom w:val="single" w:sz="4" w:space="0" w:color="70AD47" w:themeColor="accent6"/>
            </w:tcBorders>
            <w:noWrap/>
            <w:hideMark/>
          </w:tcPr>
          <w:p w14:paraId="560B6459" w14:textId="4FB20DD4" w:rsidR="007C160F" w:rsidRPr="008B14F1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F15C2">
              <w:t>440,9</w:t>
            </w:r>
          </w:p>
        </w:tc>
        <w:tc>
          <w:tcPr>
            <w:tcW w:w="1308" w:type="dxa"/>
            <w:tcBorders>
              <w:bottom w:val="single" w:sz="4" w:space="0" w:color="70AD47" w:themeColor="accent6"/>
            </w:tcBorders>
            <w:noWrap/>
            <w:hideMark/>
          </w:tcPr>
          <w:p w14:paraId="0E15A12C" w14:textId="7CC960B1" w:rsidR="007C160F" w:rsidRPr="008B14F1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66FC2">
              <w:t>6,6%</w:t>
            </w:r>
          </w:p>
        </w:tc>
      </w:tr>
      <w:tr w:rsidR="00957936" w:rsidRPr="00814F82" w14:paraId="40D19635" w14:textId="77777777" w:rsidTr="00957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tcBorders>
              <w:right w:val="single" w:sz="4" w:space="0" w:color="70AD47" w:themeColor="accent6"/>
            </w:tcBorders>
            <w:shd w:val="clear" w:color="auto" w:fill="auto"/>
            <w:noWrap/>
          </w:tcPr>
          <w:p w14:paraId="7493E31B" w14:textId="548F6EF8" w:rsidR="007C160F" w:rsidRPr="00302B7B" w:rsidRDefault="007C160F" w:rsidP="008B14F1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302B7B">
              <w:t>Wałbrzyski</w:t>
            </w:r>
          </w:p>
        </w:tc>
        <w:tc>
          <w:tcPr>
            <w:tcW w:w="1436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</w:tcPr>
          <w:p w14:paraId="687C6EEE" w14:textId="1DA105EC" w:rsidR="007C160F" w:rsidRPr="008B14F1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F15C2">
              <w:t>328,5</w:t>
            </w:r>
          </w:p>
        </w:tc>
        <w:tc>
          <w:tcPr>
            <w:tcW w:w="201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</w:tcPr>
          <w:p w14:paraId="08B87E80" w14:textId="456D02CE" w:rsidR="007C160F" w:rsidRPr="008B14F1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F15C2">
              <w:t>500,0</w:t>
            </w:r>
          </w:p>
        </w:tc>
        <w:tc>
          <w:tcPr>
            <w:tcW w:w="1308" w:type="dxa"/>
            <w:tcBorders>
              <w:left w:val="single" w:sz="4" w:space="0" w:color="70AD47" w:themeColor="accent6"/>
            </w:tcBorders>
            <w:shd w:val="clear" w:color="auto" w:fill="auto"/>
            <w:noWrap/>
          </w:tcPr>
          <w:p w14:paraId="28D9A667" w14:textId="02116B09" w:rsidR="007C160F" w:rsidRPr="008B14F1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66FC2">
              <w:t>8,8%</w:t>
            </w:r>
          </w:p>
        </w:tc>
      </w:tr>
      <w:tr w:rsidR="00957936" w:rsidRPr="00814F82" w14:paraId="65BDCC7D" w14:textId="77777777" w:rsidTr="009579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C5E0B3" w:themeFill="accent6" w:themeFillTint="66"/>
            <w:noWrap/>
            <w:hideMark/>
          </w:tcPr>
          <w:p w14:paraId="437C5276" w14:textId="7143F5B5" w:rsidR="007C160F" w:rsidRPr="008B14F1" w:rsidRDefault="007C160F" w:rsidP="008B14F1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F15C2">
              <w:t>Łódzkie</w:t>
            </w:r>
          </w:p>
        </w:tc>
        <w:tc>
          <w:tcPr>
            <w:tcW w:w="1436" w:type="dxa"/>
            <w:shd w:val="clear" w:color="auto" w:fill="C5E0B3" w:themeFill="accent6" w:themeFillTint="66"/>
            <w:noWrap/>
            <w:hideMark/>
          </w:tcPr>
          <w:p w14:paraId="13743F3A" w14:textId="57361EDC" w:rsidR="007C160F" w:rsidRPr="00302B7B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57936">
              <w:rPr>
                <w:b/>
              </w:rPr>
              <w:t>331,7</w:t>
            </w:r>
          </w:p>
        </w:tc>
        <w:tc>
          <w:tcPr>
            <w:tcW w:w="2010" w:type="dxa"/>
            <w:shd w:val="clear" w:color="auto" w:fill="C5E0B3" w:themeFill="accent6" w:themeFillTint="66"/>
            <w:noWrap/>
            <w:hideMark/>
          </w:tcPr>
          <w:p w14:paraId="6DAA5D0C" w14:textId="524AC34D" w:rsidR="007C160F" w:rsidRPr="00302B7B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57936">
              <w:rPr>
                <w:b/>
              </w:rPr>
              <w:t>564,6</w:t>
            </w:r>
          </w:p>
        </w:tc>
        <w:tc>
          <w:tcPr>
            <w:tcW w:w="1308" w:type="dxa"/>
            <w:shd w:val="clear" w:color="auto" w:fill="C5E0B3" w:themeFill="accent6" w:themeFillTint="66"/>
            <w:noWrap/>
            <w:hideMark/>
          </w:tcPr>
          <w:p w14:paraId="3BC0926A" w14:textId="19333199" w:rsidR="007C160F" w:rsidRPr="00302B7B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57936">
              <w:rPr>
                <w:b/>
              </w:rPr>
              <w:t>8,8%</w:t>
            </w:r>
          </w:p>
        </w:tc>
      </w:tr>
      <w:tr w:rsidR="00957936" w:rsidRPr="00814F82" w14:paraId="05F55FBB" w14:textId="77777777" w:rsidTr="00957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tcBorders>
              <w:bottom w:val="single" w:sz="4" w:space="0" w:color="70AD47" w:themeColor="accent6"/>
            </w:tcBorders>
            <w:shd w:val="clear" w:color="auto" w:fill="auto"/>
            <w:noWrap/>
            <w:hideMark/>
          </w:tcPr>
          <w:p w14:paraId="3D5ACB66" w14:textId="5C027F24" w:rsidR="007C160F" w:rsidRPr="000D45F7" w:rsidRDefault="007C160F" w:rsidP="008B14F1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302B7B">
              <w:t>Piotrkowski</w:t>
            </w:r>
          </w:p>
        </w:tc>
        <w:tc>
          <w:tcPr>
            <w:tcW w:w="1436" w:type="dxa"/>
            <w:tcBorders>
              <w:bottom w:val="single" w:sz="4" w:space="0" w:color="70AD47" w:themeColor="accent6"/>
            </w:tcBorders>
            <w:shd w:val="clear" w:color="auto" w:fill="auto"/>
            <w:noWrap/>
            <w:hideMark/>
          </w:tcPr>
          <w:p w14:paraId="5F39E8C9" w14:textId="66D469A2" w:rsidR="007C160F" w:rsidRPr="008B14F1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F15C2">
              <w:t>331,7</w:t>
            </w:r>
          </w:p>
        </w:tc>
        <w:tc>
          <w:tcPr>
            <w:tcW w:w="2010" w:type="dxa"/>
            <w:tcBorders>
              <w:bottom w:val="single" w:sz="4" w:space="0" w:color="70AD47" w:themeColor="accent6"/>
            </w:tcBorders>
            <w:shd w:val="clear" w:color="auto" w:fill="auto"/>
            <w:noWrap/>
            <w:hideMark/>
          </w:tcPr>
          <w:p w14:paraId="4BA453F7" w14:textId="7DE558B8" w:rsidR="007C160F" w:rsidRPr="008B14F1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F15C2">
              <w:t>564,6</w:t>
            </w:r>
          </w:p>
        </w:tc>
        <w:tc>
          <w:tcPr>
            <w:tcW w:w="1308" w:type="dxa"/>
            <w:tcBorders>
              <w:bottom w:val="single" w:sz="4" w:space="0" w:color="70AD47" w:themeColor="accent6"/>
            </w:tcBorders>
            <w:shd w:val="clear" w:color="auto" w:fill="auto"/>
            <w:noWrap/>
            <w:hideMark/>
          </w:tcPr>
          <w:p w14:paraId="7A36089D" w14:textId="6289881F" w:rsidR="007C160F" w:rsidRPr="008B14F1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66FC2">
              <w:t>8,8%</w:t>
            </w:r>
          </w:p>
        </w:tc>
      </w:tr>
      <w:tr w:rsidR="00957936" w:rsidRPr="00814F82" w14:paraId="27B82A87" w14:textId="77777777" w:rsidTr="009579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tcBorders>
              <w:right w:val="single" w:sz="4" w:space="0" w:color="70AD47" w:themeColor="accent6"/>
            </w:tcBorders>
            <w:shd w:val="clear" w:color="auto" w:fill="E2EFD9" w:themeFill="accent6" w:themeFillTint="33"/>
            <w:noWrap/>
          </w:tcPr>
          <w:p w14:paraId="6519FC74" w14:textId="75DCEC03" w:rsidR="007C160F" w:rsidRPr="000D45F7" w:rsidRDefault="00C771F2" w:rsidP="008B14F1">
            <w:r>
              <w:t>Alokacja krajowa</w:t>
            </w:r>
          </w:p>
        </w:tc>
        <w:tc>
          <w:tcPr>
            <w:tcW w:w="1436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noWrap/>
          </w:tcPr>
          <w:p w14:paraId="30F6D372" w14:textId="60C53ADC" w:rsidR="007C160F" w:rsidRPr="00957936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57936">
              <w:rPr>
                <w:b/>
              </w:rPr>
              <w:t>500,0</w:t>
            </w:r>
          </w:p>
        </w:tc>
        <w:tc>
          <w:tcPr>
            <w:tcW w:w="201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noWrap/>
          </w:tcPr>
          <w:p w14:paraId="081A8613" w14:textId="316091C7" w:rsidR="007C160F" w:rsidRPr="00957936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57936">
              <w:rPr>
                <w:b/>
              </w:rPr>
              <w:t>-</w:t>
            </w:r>
          </w:p>
        </w:tc>
        <w:tc>
          <w:tcPr>
            <w:tcW w:w="1308" w:type="dxa"/>
            <w:tcBorders>
              <w:left w:val="single" w:sz="4" w:space="0" w:color="70AD47" w:themeColor="accent6"/>
            </w:tcBorders>
            <w:shd w:val="clear" w:color="auto" w:fill="E2EFD9" w:themeFill="accent6" w:themeFillTint="33"/>
            <w:noWrap/>
          </w:tcPr>
          <w:p w14:paraId="7C962937" w14:textId="688E10B7" w:rsidR="007C160F" w:rsidRPr="00957936" w:rsidRDefault="007C160F" w:rsidP="008B14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57936">
              <w:rPr>
                <w:b/>
              </w:rPr>
              <w:t>13,3%</w:t>
            </w:r>
          </w:p>
        </w:tc>
      </w:tr>
      <w:tr w:rsidR="00957936" w:rsidRPr="00814F82" w14:paraId="41E5616E" w14:textId="77777777" w:rsidTr="00957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70AD47" w:themeFill="accent6"/>
            <w:noWrap/>
            <w:hideMark/>
          </w:tcPr>
          <w:p w14:paraId="4B831D7E" w14:textId="51380213" w:rsidR="007C160F" w:rsidRPr="008B14F1" w:rsidRDefault="007C160F" w:rsidP="008B14F1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57B1E">
              <w:t>Polska</w:t>
            </w:r>
          </w:p>
        </w:tc>
        <w:tc>
          <w:tcPr>
            <w:tcW w:w="1436" w:type="dxa"/>
            <w:shd w:val="clear" w:color="auto" w:fill="70AD47" w:themeFill="accent6"/>
            <w:noWrap/>
            <w:hideMark/>
          </w:tcPr>
          <w:p w14:paraId="000F47FD" w14:textId="3723570C" w:rsidR="007C160F" w:rsidRPr="00302B7B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57936">
              <w:rPr>
                <w:b/>
              </w:rPr>
              <w:t>4</w:t>
            </w:r>
            <w:r w:rsidR="00957936">
              <w:rPr>
                <w:b/>
              </w:rPr>
              <w:t xml:space="preserve"> </w:t>
            </w:r>
            <w:r w:rsidRPr="00957936">
              <w:rPr>
                <w:b/>
              </w:rPr>
              <w:t>000,0</w:t>
            </w:r>
          </w:p>
        </w:tc>
        <w:tc>
          <w:tcPr>
            <w:tcW w:w="2010" w:type="dxa"/>
            <w:shd w:val="clear" w:color="auto" w:fill="70AD47" w:themeFill="accent6"/>
            <w:noWrap/>
            <w:hideMark/>
          </w:tcPr>
          <w:p w14:paraId="654966E3" w14:textId="61C21AED" w:rsidR="007C160F" w:rsidRPr="00302B7B" w:rsidRDefault="007C16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57936">
              <w:rPr>
                <w:b/>
              </w:rPr>
              <w:t>5</w:t>
            </w:r>
            <w:r w:rsidR="00302B7B">
              <w:rPr>
                <w:b/>
              </w:rPr>
              <w:t>15</w:t>
            </w:r>
            <w:r w:rsidRPr="00957936">
              <w:rPr>
                <w:b/>
              </w:rPr>
              <w:t>,</w:t>
            </w:r>
            <w:r w:rsidR="00302B7B">
              <w:rPr>
                <w:b/>
              </w:rPr>
              <w:t>1</w:t>
            </w:r>
          </w:p>
        </w:tc>
        <w:tc>
          <w:tcPr>
            <w:tcW w:w="1308" w:type="dxa"/>
            <w:shd w:val="clear" w:color="auto" w:fill="70AD47" w:themeFill="accent6"/>
            <w:noWrap/>
            <w:hideMark/>
          </w:tcPr>
          <w:p w14:paraId="4BFCF239" w14:textId="6E8FD82D" w:rsidR="007C160F" w:rsidRPr="00302B7B" w:rsidRDefault="007C160F" w:rsidP="008B14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57936">
              <w:rPr>
                <w:b/>
              </w:rPr>
              <w:t>100%</w:t>
            </w:r>
          </w:p>
        </w:tc>
      </w:tr>
    </w:tbl>
    <w:p w14:paraId="17D781F2" w14:textId="7BF8A51E" w:rsidR="00673D51" w:rsidRPr="00957936" w:rsidRDefault="00957936" w:rsidP="00957936">
      <w:pPr>
        <w:ind w:left="720"/>
        <w:jc w:val="both"/>
        <w:rPr>
          <w:i/>
        </w:rPr>
      </w:pPr>
      <w:r>
        <w:rPr>
          <w:i/>
        </w:rPr>
        <w:t xml:space="preserve">* </w:t>
      </w:r>
      <w:r w:rsidR="007C160F" w:rsidRPr="00957936">
        <w:rPr>
          <w:i/>
        </w:rPr>
        <w:t>w tym alokacja na Pomoc Techniczną.</w:t>
      </w:r>
    </w:p>
    <w:p w14:paraId="2067C6FB" w14:textId="77777777" w:rsidR="00852C3B" w:rsidRDefault="00852C3B" w:rsidP="00852C3B">
      <w:pPr>
        <w:spacing w:before="240"/>
        <w:jc w:val="both"/>
      </w:pPr>
    </w:p>
    <w:p w14:paraId="1FD4B15E" w14:textId="2049C846" w:rsidR="00852C3B" w:rsidRDefault="00852C3B" w:rsidP="00852C3B">
      <w:pPr>
        <w:spacing w:before="240"/>
        <w:jc w:val="both"/>
      </w:pPr>
    </w:p>
    <w:p w14:paraId="4B670912" w14:textId="77777777" w:rsidR="00852C3B" w:rsidRPr="00814F82" w:rsidRDefault="00852C3B" w:rsidP="00852C3B">
      <w:pPr>
        <w:spacing w:before="240"/>
        <w:jc w:val="both"/>
      </w:pPr>
    </w:p>
    <w:p w14:paraId="30B5FD0A" w14:textId="6B52767A" w:rsidR="00600C81" w:rsidRPr="0087091C" w:rsidRDefault="00852C3B" w:rsidP="004B24F9">
      <w:pPr>
        <w:pStyle w:val="Nagwek1"/>
        <w:numPr>
          <w:ilvl w:val="0"/>
          <w:numId w:val="19"/>
        </w:numPr>
        <w:spacing w:after="240"/>
        <w:ind w:left="993" w:hanging="426"/>
        <w:jc w:val="both"/>
        <w:rPr>
          <w:rFonts w:eastAsiaTheme="minorEastAsia"/>
          <w:b/>
        </w:rPr>
      </w:pPr>
      <w:r>
        <w:rPr>
          <w:rFonts w:eastAsiaTheme="minorEastAsia"/>
          <w:b/>
        </w:rPr>
        <w:br w:type="column"/>
      </w:r>
      <w:bookmarkStart w:id="8" w:name="_Toc55888886"/>
      <w:r w:rsidR="00600C81" w:rsidRPr="0087091C">
        <w:rPr>
          <w:rFonts w:eastAsiaTheme="minorEastAsia"/>
          <w:b/>
        </w:rPr>
        <w:lastRenderedPageBreak/>
        <w:t xml:space="preserve">Podział województwa mazowieckiego na dwie odrębne jednostki statystyczne NUTS 2 i jego konsekwencje </w:t>
      </w:r>
      <w:r w:rsidR="000F5CAB">
        <w:rPr>
          <w:rFonts w:eastAsiaTheme="minorEastAsia"/>
          <w:b/>
        </w:rPr>
        <w:t>dla</w:t>
      </w:r>
      <w:r w:rsidR="00600C81" w:rsidRPr="0087091C">
        <w:rPr>
          <w:rFonts w:eastAsiaTheme="minorEastAsia"/>
          <w:b/>
        </w:rPr>
        <w:t xml:space="preserve"> programowani</w:t>
      </w:r>
      <w:r w:rsidR="000F5CAB">
        <w:rPr>
          <w:rFonts w:eastAsiaTheme="minorEastAsia"/>
          <w:b/>
        </w:rPr>
        <w:t>a</w:t>
      </w:r>
      <w:r w:rsidR="00600C81" w:rsidRPr="0087091C">
        <w:rPr>
          <w:rFonts w:eastAsiaTheme="minorEastAsia"/>
          <w:b/>
        </w:rPr>
        <w:t xml:space="preserve"> polityki spójności na lata 2021-2027</w:t>
      </w:r>
      <w:bookmarkEnd w:id="8"/>
    </w:p>
    <w:p w14:paraId="50B94611" w14:textId="77777777" w:rsidR="00600C81" w:rsidRPr="0087091C" w:rsidRDefault="00600C81" w:rsidP="00A15CA2">
      <w:pPr>
        <w:spacing w:before="240"/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</w:pPr>
      <w:r w:rsidRPr="0087091C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>Zmiany w podziale statystycznym Polski na poziomie NUTS 2</w:t>
      </w:r>
    </w:p>
    <w:p w14:paraId="6EC1E76B" w14:textId="3C934BE7" w:rsidR="00600C81" w:rsidRPr="00BB1B17" w:rsidRDefault="00600C81" w:rsidP="00600C81">
      <w:pPr>
        <w:spacing w:after="120"/>
        <w:jc w:val="both"/>
        <w:rPr>
          <w:rFonts w:cstheme="minorHAnsi"/>
        </w:rPr>
      </w:pPr>
      <w:r w:rsidRPr="00BB1B17">
        <w:rPr>
          <w:rFonts w:cstheme="minorHAnsi"/>
        </w:rPr>
        <w:t xml:space="preserve">W dniu 29 listopada 2016 roku w Dzienniku Urzędowym Unii Europejskiej zostało opublikowane Rozporządzenie Komisji (UE) 2016/2066 z dnia 21 listopada 2016 r. zmieniające załączniki do rozporządzenia (WE) nr 1059/2003 Parlamentu </w:t>
      </w:r>
      <w:r w:rsidR="0003132B">
        <w:rPr>
          <w:rFonts w:cstheme="minorHAnsi"/>
        </w:rPr>
        <w:t xml:space="preserve">Europejskiego i </w:t>
      </w:r>
      <w:r w:rsidRPr="00BB1B17">
        <w:rPr>
          <w:rFonts w:cstheme="minorHAnsi"/>
        </w:rPr>
        <w:t>Rady w sprawie ustalenia wspólnej klasyfikacji Jednostek Terytorialnych do Celów Statystyczn</w:t>
      </w:r>
      <w:r w:rsidR="00B262BE">
        <w:rPr>
          <w:rFonts w:cstheme="minorHAnsi"/>
        </w:rPr>
        <w:t>ych (NUTS) (Dz. Urz. UE L 322 z </w:t>
      </w:r>
      <w:r w:rsidRPr="00BB1B17">
        <w:rPr>
          <w:rFonts w:cstheme="minorHAnsi"/>
        </w:rPr>
        <w:t xml:space="preserve">29.11.2016). Wprowadzone </w:t>
      </w:r>
      <w:r w:rsidRPr="00BB1B17">
        <w:rPr>
          <w:rFonts w:cstheme="minorHAnsi"/>
          <w:b/>
        </w:rPr>
        <w:t xml:space="preserve">zmiany obowiązują </w:t>
      </w:r>
      <w:r w:rsidR="0003132B">
        <w:rPr>
          <w:rFonts w:cstheme="minorHAnsi"/>
          <w:b/>
        </w:rPr>
        <w:t>od dnia</w:t>
      </w:r>
      <w:r w:rsidRPr="00BB1B17">
        <w:rPr>
          <w:rFonts w:cstheme="minorHAnsi"/>
          <w:b/>
        </w:rPr>
        <w:t xml:space="preserve"> 1 stycznia 2018 roku</w:t>
      </w:r>
      <w:r w:rsidR="0003132B">
        <w:rPr>
          <w:rFonts w:cstheme="minorHAnsi"/>
        </w:rPr>
        <w:t xml:space="preserve">. Rozporządzenie </w:t>
      </w:r>
      <w:r w:rsidRPr="00BB1B17">
        <w:rPr>
          <w:rFonts w:cstheme="minorHAnsi"/>
        </w:rPr>
        <w:t xml:space="preserve">jest rezultatem kolejnej rundy rewizji wspólnej Klasyfikacji Jednostek Terytorialnych do Celów Statystycznych NUTS (tzw. rewizja NUTS 2016). </w:t>
      </w:r>
    </w:p>
    <w:p w14:paraId="1FD7EDA2" w14:textId="77777777" w:rsidR="00600C81" w:rsidRPr="00BB1B17" w:rsidRDefault="00600C81" w:rsidP="00600C81">
      <w:pPr>
        <w:spacing w:after="120"/>
        <w:jc w:val="both"/>
        <w:rPr>
          <w:rFonts w:cstheme="minorHAnsi"/>
        </w:rPr>
      </w:pPr>
      <w:r w:rsidRPr="00BB1B17">
        <w:rPr>
          <w:rFonts w:cstheme="minorHAnsi"/>
        </w:rPr>
        <w:t>W ramach tej rundy rewizji dokonano modyfikacji w podziałach na jednostki statystyczne w dziewięc</w:t>
      </w:r>
      <w:r w:rsidR="0082411C">
        <w:rPr>
          <w:rFonts w:cstheme="minorHAnsi"/>
        </w:rPr>
        <w:t>iu państwach członkowskich UE.</w:t>
      </w:r>
    </w:p>
    <w:p w14:paraId="39C419C6" w14:textId="77777777" w:rsidR="00600C81" w:rsidRPr="00BB1B17" w:rsidRDefault="00600C81" w:rsidP="00600C81">
      <w:pPr>
        <w:spacing w:after="120"/>
        <w:jc w:val="both"/>
        <w:rPr>
          <w:rFonts w:cstheme="minorHAnsi"/>
        </w:rPr>
      </w:pPr>
      <w:r w:rsidRPr="00BB1B17">
        <w:rPr>
          <w:rFonts w:cstheme="minorHAnsi"/>
        </w:rPr>
        <w:t xml:space="preserve">W odniesieniu do podziału statystycznego Polski na jednostki NUTS, wprowadzone zostały zmiany w podziałach wszystkich poziomów. Na poziomie NUTS 2 województwo mazowieckie, stanowiące dotychczas jedną jednostkę statystyczną tego poziomu, zostało podzielone </w:t>
      </w:r>
      <w:r w:rsidR="0082411C">
        <w:rPr>
          <w:rFonts w:cstheme="minorHAnsi"/>
        </w:rPr>
        <w:t>na dwie jednostki statystyczne:</w:t>
      </w:r>
    </w:p>
    <w:p w14:paraId="331D8411" w14:textId="77777777" w:rsidR="00600C81" w:rsidRPr="00BB1B17" w:rsidRDefault="00600C81" w:rsidP="00600C81">
      <w:pPr>
        <w:pStyle w:val="Akapitzlist"/>
        <w:numPr>
          <w:ilvl w:val="0"/>
          <w:numId w:val="24"/>
        </w:numPr>
        <w:spacing w:after="120" w:line="240" w:lineRule="auto"/>
        <w:contextualSpacing w:val="0"/>
        <w:jc w:val="both"/>
        <w:rPr>
          <w:rFonts w:cstheme="minorHAnsi"/>
        </w:rPr>
      </w:pPr>
      <w:r w:rsidRPr="00BB1B17">
        <w:rPr>
          <w:rFonts w:cstheme="minorHAnsi"/>
          <w:b/>
        </w:rPr>
        <w:t xml:space="preserve">region </w:t>
      </w:r>
      <w:r>
        <w:rPr>
          <w:rFonts w:cstheme="minorHAnsi"/>
          <w:b/>
        </w:rPr>
        <w:t>w</w:t>
      </w:r>
      <w:r w:rsidRPr="00BB1B17">
        <w:rPr>
          <w:rFonts w:cstheme="minorHAnsi"/>
          <w:b/>
        </w:rPr>
        <w:t>arszawski stołeczny</w:t>
      </w:r>
      <w:r w:rsidRPr="00BB1B17">
        <w:rPr>
          <w:rFonts w:cstheme="minorHAnsi"/>
        </w:rPr>
        <w:t>, który obejmuje Warszawę wraz z dziewięcioma powiatami: legionowskim, mińskim, nowodworskim, otwockim, wołomińskim, grodziskim, piaseczyńskim, pruszkowskim i warszawskim zachodnim;</w:t>
      </w:r>
    </w:p>
    <w:p w14:paraId="0E60506D" w14:textId="77777777" w:rsidR="00600C81" w:rsidRPr="00BB1B17" w:rsidRDefault="00600C81" w:rsidP="00600C81">
      <w:pPr>
        <w:pStyle w:val="Akapitzlist"/>
        <w:numPr>
          <w:ilvl w:val="0"/>
          <w:numId w:val="24"/>
        </w:numPr>
        <w:spacing w:after="120" w:line="240" w:lineRule="auto"/>
        <w:contextualSpacing w:val="0"/>
        <w:jc w:val="both"/>
        <w:rPr>
          <w:rFonts w:cstheme="minorHAnsi"/>
        </w:rPr>
      </w:pPr>
      <w:r w:rsidRPr="00BB1B17">
        <w:rPr>
          <w:rFonts w:cstheme="minorHAnsi"/>
          <w:b/>
        </w:rPr>
        <w:t xml:space="preserve">region </w:t>
      </w:r>
      <w:r>
        <w:rPr>
          <w:rFonts w:cstheme="minorHAnsi"/>
          <w:b/>
        </w:rPr>
        <w:t>m</w:t>
      </w:r>
      <w:r w:rsidRPr="00BB1B17">
        <w:rPr>
          <w:rFonts w:cstheme="minorHAnsi"/>
          <w:b/>
        </w:rPr>
        <w:t>azowiecki regionalny</w:t>
      </w:r>
      <w:r w:rsidRPr="00BB1B17">
        <w:rPr>
          <w:rFonts w:cstheme="minorHAnsi"/>
        </w:rPr>
        <w:t>, który obejmuje pozostałą część województwa mazowieckiego.</w:t>
      </w:r>
    </w:p>
    <w:p w14:paraId="1FFA2DAE" w14:textId="77777777" w:rsidR="00600C81" w:rsidRPr="00BB1B17" w:rsidRDefault="00600C81" w:rsidP="00600C81">
      <w:pPr>
        <w:spacing w:after="120"/>
        <w:jc w:val="both"/>
        <w:rPr>
          <w:rFonts w:cstheme="minorHAnsi"/>
        </w:rPr>
      </w:pPr>
      <w:r w:rsidRPr="00BB1B17">
        <w:rPr>
          <w:rFonts w:eastAsia="Calibri" w:cstheme="minorHAnsi"/>
          <w:spacing w:val="4"/>
        </w:rPr>
        <w:t>W wyniku podziału województwa mazowieckiego na dwie jednostki NUTS 2, liczba jednostek poziomu NUTS 2 w Polsce wzro</w:t>
      </w:r>
      <w:r>
        <w:rPr>
          <w:rFonts w:eastAsia="Calibri" w:cstheme="minorHAnsi"/>
          <w:spacing w:val="4"/>
        </w:rPr>
        <w:t>sła</w:t>
      </w:r>
      <w:r w:rsidRPr="00BB1B17">
        <w:rPr>
          <w:rFonts w:eastAsia="Calibri" w:cstheme="minorHAnsi"/>
          <w:spacing w:val="4"/>
        </w:rPr>
        <w:t xml:space="preserve"> z szesnastu do siedemnastu. </w:t>
      </w:r>
      <w:r w:rsidRPr="00BB1B17">
        <w:rPr>
          <w:rFonts w:cstheme="minorHAnsi"/>
        </w:rPr>
        <w:t>Jednocześnie zmianie uległa nazwa poziomu na „regiony” (dotychczasowa nazwa to „województwa”)</w:t>
      </w:r>
      <w:r w:rsidRPr="00BB1B17">
        <w:rPr>
          <w:rStyle w:val="Odwoanieprzypisudolnego"/>
          <w:rFonts w:cstheme="minorHAnsi"/>
        </w:rPr>
        <w:footnoteReference w:id="12"/>
      </w:r>
      <w:r w:rsidRPr="00BB1B17">
        <w:rPr>
          <w:rFonts w:cstheme="minorHAnsi"/>
        </w:rPr>
        <w:t>.</w:t>
      </w:r>
    </w:p>
    <w:p w14:paraId="5BB73C02" w14:textId="77777777" w:rsidR="00600C81" w:rsidRDefault="00600C81" w:rsidP="00600C81">
      <w:pPr>
        <w:spacing w:after="120"/>
        <w:jc w:val="both"/>
        <w:rPr>
          <w:rFonts w:cstheme="minorHAnsi"/>
        </w:rPr>
      </w:pPr>
      <w:r w:rsidRPr="00BB1B17">
        <w:rPr>
          <w:rFonts w:cstheme="minorHAnsi"/>
        </w:rPr>
        <w:t>Należy podkreślić, że powyższa zmiana podziału statystycznego Polski została wniesiona na wniosek RP skierowany w 2016 r. do Komisj</w:t>
      </w:r>
      <w:r w:rsidR="00035BBF">
        <w:rPr>
          <w:rFonts w:cstheme="minorHAnsi"/>
        </w:rPr>
        <w:t>i Europejskiej. Wniosek ten był</w:t>
      </w:r>
      <w:r w:rsidRPr="00BB1B17">
        <w:rPr>
          <w:rFonts w:cstheme="minorHAnsi"/>
        </w:rPr>
        <w:t xml:space="preserve"> rezultatem współpracy </w:t>
      </w:r>
      <w:r w:rsidR="0003132B">
        <w:rPr>
          <w:rFonts w:cstheme="minorHAnsi"/>
        </w:rPr>
        <w:t xml:space="preserve">ówczesnego </w:t>
      </w:r>
      <w:r w:rsidRPr="00BB1B17">
        <w:rPr>
          <w:rFonts w:cstheme="minorHAnsi"/>
        </w:rPr>
        <w:t>Ministerstwa Rozwoju, Urzędu Marszałkowskiego Województwa Mazowieckiego oraz Głównego Urzędu Statystycznego.</w:t>
      </w:r>
    </w:p>
    <w:p w14:paraId="1F8603BA" w14:textId="77777777" w:rsidR="00600C81" w:rsidRPr="0087091C" w:rsidRDefault="00840599" w:rsidP="0087091C">
      <w:pPr>
        <w:spacing w:before="240"/>
        <w:jc w:val="both"/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</w:pPr>
      <w:r w:rsidRPr="0087091C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>Przesłanki podziału województwa</w:t>
      </w:r>
      <w:r w:rsidR="00600C81" w:rsidRPr="0087091C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 xml:space="preserve"> mazowieckiego na dwie odrębne jednostki NUTS 2 </w:t>
      </w:r>
    </w:p>
    <w:p w14:paraId="7349B8BB" w14:textId="77777777" w:rsidR="00600C81" w:rsidRPr="00BB1B17" w:rsidRDefault="00600C81" w:rsidP="00600C81">
      <w:pPr>
        <w:spacing w:after="120"/>
        <w:jc w:val="both"/>
        <w:rPr>
          <w:rFonts w:cstheme="minorHAnsi"/>
        </w:rPr>
      </w:pPr>
      <w:r w:rsidRPr="00BB1B17">
        <w:rPr>
          <w:rFonts w:cstheme="minorHAnsi"/>
        </w:rPr>
        <w:t>Statystyczny podział województwa na dwie odrębne</w:t>
      </w:r>
      <w:r w:rsidR="0003132B">
        <w:rPr>
          <w:rFonts w:cstheme="minorHAnsi"/>
        </w:rPr>
        <w:t xml:space="preserve"> jednostki na poziomie NUTS 2 miał</w:t>
      </w:r>
      <w:r w:rsidRPr="00BB1B17">
        <w:rPr>
          <w:rFonts w:cstheme="minorHAnsi"/>
        </w:rPr>
        <w:t xml:space="preserve"> służyć przede wszystkim realizowanej polityce rozwoju regionu, która wymaga</w:t>
      </w:r>
      <w:r w:rsidR="0003132B">
        <w:rPr>
          <w:rFonts w:cstheme="minorHAnsi"/>
        </w:rPr>
        <w:t>ła</w:t>
      </w:r>
      <w:r w:rsidRPr="00BB1B17">
        <w:rPr>
          <w:rFonts w:cstheme="minorHAnsi"/>
        </w:rPr>
        <w:t xml:space="preserve"> m.in. odróżnienia celów </w:t>
      </w:r>
      <w:r w:rsidRPr="00BB1B17">
        <w:rPr>
          <w:rFonts w:cstheme="minorHAnsi"/>
        </w:rPr>
        <w:lastRenderedPageBreak/>
        <w:t>rozwojowych obszaru funkcjonalnego stolicy od celów rozwojowych innych obszarów regionu. Potrzeba jego dokonania wynika</w:t>
      </w:r>
      <w:r w:rsidR="0003132B">
        <w:rPr>
          <w:rFonts w:cstheme="minorHAnsi"/>
        </w:rPr>
        <w:t>ła</w:t>
      </w:r>
      <w:r w:rsidRPr="00BB1B17">
        <w:rPr>
          <w:rFonts w:cstheme="minorHAnsi"/>
        </w:rPr>
        <w:t xml:space="preserve"> przede wszystkim ze znacznie większego - w porównaniu z innymi województwami - wewnętrznego zróżnicowania Mazowsza pod względem poziomu rozwoju społeczno-gospodarczego i zamożności</w:t>
      </w:r>
      <w:r w:rsidR="0003132B">
        <w:rPr>
          <w:rFonts w:cstheme="minorHAnsi"/>
        </w:rPr>
        <w:t>. Rola ekonomiczna Mazowsza była</w:t>
      </w:r>
      <w:r w:rsidRPr="00BB1B17">
        <w:rPr>
          <w:rFonts w:cstheme="minorHAnsi"/>
        </w:rPr>
        <w:t xml:space="preserve"> zdeterminowana dominującą w skali kraju pozycją Warszawy i jej obszaru funkcjonalnego, jednakże z drugiej strony w </w:t>
      </w:r>
      <w:r w:rsidR="0003132B">
        <w:rPr>
          <w:rFonts w:cstheme="minorHAnsi"/>
        </w:rPr>
        <w:t xml:space="preserve">województwie tym występowały </w:t>
      </w:r>
      <w:r w:rsidRPr="00BB1B17">
        <w:rPr>
          <w:rFonts w:cstheme="minorHAnsi"/>
        </w:rPr>
        <w:t>obszary (identyfikowane na poziomie jednostek NUTS 3) charakteryzujące się poziomem rozwoju zbliżonym do najbiedniejszych terytoriów w Polsce i w UE. Utrudnia</w:t>
      </w:r>
      <w:r w:rsidR="0003132B">
        <w:rPr>
          <w:rFonts w:cstheme="minorHAnsi"/>
        </w:rPr>
        <w:t>ło</w:t>
      </w:r>
      <w:r w:rsidRPr="00BB1B17">
        <w:rPr>
          <w:rFonts w:cstheme="minorHAnsi"/>
        </w:rPr>
        <w:t xml:space="preserve"> to zarządzanie rozwojem regionu w sposób uwzględniający potrzeby poszczególnych obszarów. Szacuje się, że PKB na mieszkańca według parytetu siły nabywczej walut w relacji do średniej unijnej wynosił w 2018 r. dla regionu warszawskiego stołecznego 155%, a dla  mazowieckiego regionalnego 59%.</w:t>
      </w:r>
    </w:p>
    <w:p w14:paraId="6E40C6AE" w14:textId="77777777" w:rsidR="00600C81" w:rsidRPr="00BB1B17" w:rsidRDefault="00600C81" w:rsidP="00600C81">
      <w:pPr>
        <w:spacing w:after="120"/>
        <w:jc w:val="center"/>
        <w:rPr>
          <w:rFonts w:eastAsia="Calibri" w:cstheme="minorHAnsi"/>
          <w:i/>
          <w:noProof/>
        </w:rPr>
      </w:pPr>
      <w:r w:rsidRPr="00BB1B17">
        <w:rPr>
          <w:rFonts w:eastAsia="Calibri" w:cstheme="minorHAnsi"/>
          <w:i/>
          <w:noProof/>
        </w:rPr>
        <w:t>P</w:t>
      </w:r>
      <w:r w:rsidRPr="00BB1B17">
        <w:rPr>
          <w:rFonts w:eastAsia="Calibri" w:cstheme="minorHAnsi"/>
          <w:i/>
        </w:rPr>
        <w:t xml:space="preserve">odział </w:t>
      </w:r>
      <w:r w:rsidRPr="00BB1B17">
        <w:rPr>
          <w:rFonts w:eastAsia="Calibri" w:cstheme="minorHAnsi"/>
          <w:i/>
          <w:spacing w:val="4"/>
        </w:rPr>
        <w:t>woj. mazowieckiego na dwie jednostki statystyczne NUTS 2</w:t>
      </w:r>
    </w:p>
    <w:p w14:paraId="4612FF04" w14:textId="77777777" w:rsidR="00600C81" w:rsidRPr="00BB1B17" w:rsidRDefault="00600C81" w:rsidP="00600C81">
      <w:pPr>
        <w:tabs>
          <w:tab w:val="left" w:pos="7020"/>
        </w:tabs>
        <w:spacing w:after="120"/>
        <w:rPr>
          <w:rFonts w:eastAsia="Calibri" w:cstheme="minorHAnsi"/>
          <w:noProof/>
        </w:rPr>
      </w:pPr>
      <w:r w:rsidRPr="00BB1B17">
        <w:rPr>
          <w:rFonts w:eastAsia="Calibri" w:cstheme="minorHAnsi"/>
          <w:noProof/>
          <w:lang w:eastAsia="pl-PL"/>
        </w:rPr>
        <w:drawing>
          <wp:inline distT="0" distB="0" distL="0" distR="0" wp14:anchorId="1E2CE41C" wp14:editId="3B37BD8B">
            <wp:extent cx="5683250" cy="4693630"/>
            <wp:effectExtent l="0" t="0" r="0" b="0"/>
            <wp:docPr id="3" name="Obraz 3" descr="Maz-Z_nowo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-Z_nowodw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0" t="28262" r="5215" b="18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469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E1564" w14:textId="77777777" w:rsidR="00600C81" w:rsidRPr="00BB1B17" w:rsidRDefault="00600C81" w:rsidP="00600C81">
      <w:pPr>
        <w:tabs>
          <w:tab w:val="left" w:pos="7020"/>
        </w:tabs>
        <w:spacing w:after="120"/>
        <w:rPr>
          <w:rFonts w:eastAsia="Calibri" w:cstheme="minorHAnsi"/>
        </w:rPr>
      </w:pPr>
    </w:p>
    <w:p w14:paraId="3A178E78" w14:textId="77777777" w:rsidR="00600C81" w:rsidRDefault="00600C81" w:rsidP="0003132B">
      <w:pPr>
        <w:spacing w:after="120"/>
        <w:jc w:val="both"/>
        <w:rPr>
          <w:rFonts w:cstheme="minorHAnsi"/>
        </w:rPr>
      </w:pPr>
      <w:r w:rsidRPr="00BB1B17">
        <w:rPr>
          <w:rFonts w:cstheme="minorHAnsi"/>
        </w:rPr>
        <w:t xml:space="preserve">Statystyczny podział woj. mazowieckiego na dwie jednostki terytorialne poziomu NUTS 2 </w:t>
      </w:r>
      <w:r w:rsidR="0003132B">
        <w:rPr>
          <w:rFonts w:cstheme="minorHAnsi"/>
        </w:rPr>
        <w:t>jest</w:t>
      </w:r>
      <w:r w:rsidRPr="00BB1B17">
        <w:rPr>
          <w:rFonts w:cstheme="minorHAnsi"/>
        </w:rPr>
        <w:t xml:space="preserve"> korzystny dla zarządzania rozwojem regionu. </w:t>
      </w:r>
    </w:p>
    <w:p w14:paraId="34C17613" w14:textId="77777777" w:rsidR="00600C81" w:rsidRPr="0087091C" w:rsidRDefault="00A15CA2" w:rsidP="0087091C">
      <w:pPr>
        <w:spacing w:before="240"/>
        <w:jc w:val="both"/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</w:pPr>
      <w:r>
        <w:rPr>
          <w:rFonts w:asciiTheme="majorHAnsi" w:eastAsia="Arial Unicode MS" w:hAnsiTheme="majorHAnsi" w:cstheme="majorHAnsi"/>
          <w:color w:val="2E74B5" w:themeColor="accent1" w:themeShade="BF"/>
          <w:sz w:val="32"/>
          <w:szCs w:val="32"/>
        </w:rPr>
        <w:br w:type="column"/>
      </w:r>
      <w:r w:rsidR="00600C81" w:rsidRPr="0087091C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lastRenderedPageBreak/>
        <w:t xml:space="preserve">Konsekwencje podziału województwa mazowieckiego dla </w:t>
      </w:r>
      <w:r w:rsidR="00542F3E" w:rsidRPr="0087091C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>p</w:t>
      </w:r>
      <w:r w:rsidR="00600C81" w:rsidRPr="0087091C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 xml:space="preserve">rogramowania polityki spójności na lata 2021-2027 </w:t>
      </w:r>
    </w:p>
    <w:p w14:paraId="7CDB80A1" w14:textId="38559296" w:rsidR="00600C81" w:rsidRPr="00BB1B17" w:rsidRDefault="00600C81" w:rsidP="00600C81">
      <w:pPr>
        <w:spacing w:after="120"/>
        <w:jc w:val="both"/>
        <w:rPr>
          <w:rFonts w:cstheme="minorHAnsi"/>
        </w:rPr>
      </w:pPr>
      <w:r w:rsidRPr="00BB1B17">
        <w:rPr>
          <w:rFonts w:cstheme="minorHAnsi"/>
        </w:rPr>
        <w:t xml:space="preserve">W nowym okresie programowania </w:t>
      </w:r>
      <w:r>
        <w:rPr>
          <w:rFonts w:cstheme="minorHAnsi"/>
        </w:rPr>
        <w:t xml:space="preserve">polityki spójności </w:t>
      </w:r>
      <w:r w:rsidRPr="00BB1B17">
        <w:rPr>
          <w:rFonts w:cstheme="minorHAnsi"/>
        </w:rPr>
        <w:t xml:space="preserve">zastosowany </w:t>
      </w:r>
      <w:r>
        <w:rPr>
          <w:rFonts w:cstheme="minorHAnsi"/>
        </w:rPr>
        <w:t xml:space="preserve">zostanie </w:t>
      </w:r>
      <w:r w:rsidRPr="00BB1B17">
        <w:rPr>
          <w:rFonts w:cstheme="minorHAnsi"/>
        </w:rPr>
        <w:t xml:space="preserve">nowy podział </w:t>
      </w:r>
      <w:r>
        <w:rPr>
          <w:rFonts w:cstheme="minorHAnsi"/>
        </w:rPr>
        <w:t xml:space="preserve">statystyczny </w:t>
      </w:r>
      <w:r w:rsidRPr="00BB1B17">
        <w:rPr>
          <w:rFonts w:cstheme="minorHAnsi"/>
        </w:rPr>
        <w:t xml:space="preserve">NUTS 2016. Oznacza </w:t>
      </w:r>
      <w:r w:rsidR="000F5CAB">
        <w:rPr>
          <w:rFonts w:cstheme="minorHAnsi"/>
        </w:rPr>
        <w:t>to</w:t>
      </w:r>
      <w:r w:rsidRPr="00BB1B17">
        <w:rPr>
          <w:rFonts w:cstheme="minorHAnsi"/>
        </w:rPr>
        <w:t>, że region warszawski stołeczny znajdzie si</w:t>
      </w:r>
      <w:r w:rsidR="00B262BE">
        <w:rPr>
          <w:rFonts w:cstheme="minorHAnsi"/>
        </w:rPr>
        <w:t>ę – jako jedyny w Polsce – w </w:t>
      </w:r>
      <w:r w:rsidRPr="00BB1B17">
        <w:rPr>
          <w:rFonts w:cstheme="minorHAnsi"/>
        </w:rPr>
        <w:t xml:space="preserve">grupie regionów lepiej rozwiniętych, mazowiecki regionalny dołączy do grupy regionów słabiej rozwiniętych. Powyższe </w:t>
      </w:r>
      <w:r>
        <w:rPr>
          <w:rFonts w:cstheme="minorHAnsi"/>
        </w:rPr>
        <w:t xml:space="preserve">rodzi szereg </w:t>
      </w:r>
      <w:r w:rsidRPr="00BB1B17">
        <w:rPr>
          <w:rFonts w:cstheme="minorHAnsi"/>
        </w:rPr>
        <w:t>konsekwencj</w:t>
      </w:r>
      <w:r>
        <w:rPr>
          <w:rFonts w:cstheme="minorHAnsi"/>
        </w:rPr>
        <w:t>i</w:t>
      </w:r>
      <w:r w:rsidRPr="00BB1B17">
        <w:rPr>
          <w:rFonts w:cstheme="minorHAnsi"/>
        </w:rPr>
        <w:t xml:space="preserve"> dla programowania polityki spójności</w:t>
      </w:r>
      <w:r>
        <w:rPr>
          <w:rFonts w:cstheme="minorHAnsi"/>
        </w:rPr>
        <w:t xml:space="preserve"> w Polsce</w:t>
      </w:r>
      <w:r w:rsidRPr="00BB1B17">
        <w:rPr>
          <w:rFonts w:cstheme="minorHAnsi"/>
        </w:rPr>
        <w:t>.</w:t>
      </w:r>
    </w:p>
    <w:p w14:paraId="0BE29681" w14:textId="77777777" w:rsidR="00600C81" w:rsidRPr="00B262BE" w:rsidRDefault="00600C81" w:rsidP="00B262BE">
      <w:pPr>
        <w:rPr>
          <w:rFonts w:asciiTheme="majorHAnsi" w:hAnsiTheme="majorHAnsi" w:cstheme="majorHAnsi"/>
          <w:color w:val="0070C0"/>
          <w:sz w:val="24"/>
        </w:rPr>
      </w:pPr>
      <w:r w:rsidRPr="00B262BE">
        <w:rPr>
          <w:rFonts w:asciiTheme="majorHAnsi" w:hAnsiTheme="majorHAnsi" w:cstheme="majorHAnsi"/>
          <w:color w:val="0070C0"/>
          <w:sz w:val="24"/>
        </w:rPr>
        <w:t>Wysokość alokacji</w:t>
      </w:r>
    </w:p>
    <w:p w14:paraId="0EB489A4" w14:textId="77777777" w:rsidR="00600C81" w:rsidRPr="00BB1B17" w:rsidRDefault="00600C81" w:rsidP="00600C81">
      <w:pPr>
        <w:spacing w:after="120"/>
        <w:jc w:val="both"/>
        <w:rPr>
          <w:rFonts w:cstheme="minorHAnsi"/>
        </w:rPr>
      </w:pPr>
      <w:r w:rsidRPr="00BB1B17">
        <w:rPr>
          <w:rFonts w:cstheme="minorHAnsi"/>
        </w:rPr>
        <w:t>Alokacje dla obu regionów zostaną wyliczone przez Komisję Europejską z wykorzystaniem metodologii berlińskiej, przy czym istnieją odrębne metody dla regionów słabiej rozwiniętych (poniżej 75% średniego unijnego PKB pc w PPS), przejściowych (75-100%) i lepiej rozwiniętych (powyżej 100%). Metodologia berlińska, która odzwierciedla cele polityki spójności, sprzyja regionom najsłabszym, umożliwiając im uzyskanie znacznie wyższych alokacji niż regionom bogatszym.</w:t>
      </w:r>
    </w:p>
    <w:p w14:paraId="3F110396" w14:textId="6A7F0334" w:rsidR="00600C81" w:rsidRPr="00BB1B17" w:rsidRDefault="00600C81" w:rsidP="004C411D">
      <w:pPr>
        <w:spacing w:after="120"/>
        <w:jc w:val="both"/>
        <w:rPr>
          <w:rFonts w:cstheme="minorHAnsi"/>
        </w:rPr>
      </w:pPr>
      <w:r w:rsidRPr="00BB1B17">
        <w:rPr>
          <w:rFonts w:cstheme="minorHAnsi"/>
        </w:rPr>
        <w:t xml:space="preserve">Na chwilę obecną nie są znane szczegółowe alokacje dla poszczególnych regionów. Próby odtworzenia przez </w:t>
      </w:r>
      <w:r>
        <w:rPr>
          <w:rFonts w:cstheme="minorHAnsi"/>
        </w:rPr>
        <w:t>DSR</w:t>
      </w:r>
      <w:r w:rsidRPr="00BB1B17">
        <w:rPr>
          <w:rFonts w:cstheme="minorHAnsi"/>
        </w:rPr>
        <w:t xml:space="preserve"> wyliczeń Komisji Europejskiej pozwalają na oszacowanie skali wielkości alokacji dla ob</w:t>
      </w:r>
      <w:r>
        <w:rPr>
          <w:rFonts w:cstheme="minorHAnsi"/>
        </w:rPr>
        <w:t>u</w:t>
      </w:r>
      <w:r w:rsidRPr="00BB1B17">
        <w:rPr>
          <w:rFonts w:cstheme="minorHAnsi"/>
        </w:rPr>
        <w:t xml:space="preserve"> regionów województwa mazowieckiego. Szacuje się, że alokacja na region warszawski st</w:t>
      </w:r>
      <w:r w:rsidR="00035BBF">
        <w:rPr>
          <w:rFonts w:cstheme="minorHAnsi"/>
        </w:rPr>
        <w:t>ołeczny może wynieść ok. 135 mln</w:t>
      </w:r>
      <w:r w:rsidRPr="00BB1B17">
        <w:rPr>
          <w:rFonts w:cstheme="minorHAnsi"/>
        </w:rPr>
        <w:t xml:space="preserve"> euro, natomiast alokacja na region mazowiecki regionalny ok</w:t>
      </w:r>
      <w:r>
        <w:rPr>
          <w:rFonts w:cstheme="minorHAnsi"/>
        </w:rPr>
        <w:t>. 4,2 mld euro.</w:t>
      </w:r>
      <w:r w:rsidR="004C411D">
        <w:rPr>
          <w:rFonts w:cstheme="minorHAnsi"/>
        </w:rPr>
        <w:t xml:space="preserve"> Należy mieć na uwadze, że a</w:t>
      </w:r>
      <w:r w:rsidRPr="00BB1B17">
        <w:rPr>
          <w:rFonts w:cstheme="minorHAnsi"/>
        </w:rPr>
        <w:t xml:space="preserve">lokacja </w:t>
      </w:r>
      <w:r>
        <w:rPr>
          <w:rFonts w:cstheme="minorHAnsi"/>
        </w:rPr>
        <w:t>n</w:t>
      </w:r>
      <w:r w:rsidRPr="00BB1B17">
        <w:rPr>
          <w:rFonts w:cstheme="minorHAnsi"/>
        </w:rPr>
        <w:t>a region mazowiecki regionalny trafia do puli środków dostępnej dla regionów słabiej rozwiniętych. Część z tych środków zostanie przeznaczona na program</w:t>
      </w:r>
      <w:r w:rsidR="00035BBF">
        <w:rPr>
          <w:rFonts w:cstheme="minorHAnsi"/>
        </w:rPr>
        <w:t>y regionalne</w:t>
      </w:r>
      <w:r w:rsidRPr="00BB1B17">
        <w:rPr>
          <w:rFonts w:cstheme="minorHAnsi"/>
        </w:rPr>
        <w:t xml:space="preserve"> w wysokości uzależnionej od udziału alokacji przekazanej do podziału na wszystkie programy regionalne (40% alokacji polityki spójności) oraz metodologii zastosowanej do podziału tej alokacji. </w:t>
      </w:r>
    </w:p>
    <w:p w14:paraId="0AC37560" w14:textId="77777777" w:rsidR="00600C81" w:rsidRPr="00B262BE" w:rsidRDefault="00600C81" w:rsidP="00B262BE">
      <w:pPr>
        <w:rPr>
          <w:rFonts w:asciiTheme="majorHAnsi" w:hAnsiTheme="majorHAnsi" w:cstheme="majorHAnsi"/>
          <w:color w:val="0070C0"/>
          <w:sz w:val="24"/>
        </w:rPr>
      </w:pPr>
      <w:r w:rsidRPr="00B262BE">
        <w:rPr>
          <w:rFonts w:asciiTheme="majorHAnsi" w:hAnsiTheme="majorHAnsi" w:cstheme="majorHAnsi"/>
          <w:color w:val="0070C0"/>
          <w:sz w:val="24"/>
        </w:rPr>
        <w:t>Poziom współfinansowania</w:t>
      </w:r>
    </w:p>
    <w:p w14:paraId="077A9C3A" w14:textId="00D14312" w:rsidR="00600C81" w:rsidRPr="00BB1B17" w:rsidRDefault="00600C81" w:rsidP="00600C81">
      <w:pPr>
        <w:spacing w:after="120"/>
        <w:jc w:val="both"/>
        <w:rPr>
          <w:rFonts w:cstheme="minorHAnsi"/>
        </w:rPr>
      </w:pPr>
      <w:r w:rsidRPr="00BB1B17">
        <w:rPr>
          <w:rFonts w:cstheme="minorHAnsi"/>
        </w:rPr>
        <w:t>Zastosowanie nowego podziału statystycznego Mazowsza daje możliwość nie tylko uzyskania wyższej alokacji dla słabiej rozwiniętej części województwa, ale także wyższych stóp współfinansowania projektów. W konkluzjach Rady E</w:t>
      </w:r>
      <w:r w:rsidR="00035BBF">
        <w:rPr>
          <w:rFonts w:cstheme="minorHAnsi"/>
        </w:rPr>
        <w:t>uropejskiej podtrzymane zostały</w:t>
      </w:r>
      <w:r w:rsidRPr="00BB1B17">
        <w:rPr>
          <w:rFonts w:cstheme="minorHAnsi"/>
        </w:rPr>
        <w:t xml:space="preserve"> propozycje z 10 lipca br. dotyczące zwiększonych stóp dofinansowania m.in. dla regionów słabiej rozwiniętych, które wyniosą 85%. Dla regionów słabiej rozwiniętych utrzymano dużo niższy poziom dofinansowania</w:t>
      </w:r>
      <w:r w:rsidR="00035BBF">
        <w:rPr>
          <w:rFonts w:cstheme="minorHAnsi"/>
        </w:rPr>
        <w:t xml:space="preserve"> tj. 40%. </w:t>
      </w:r>
      <w:r w:rsidRPr="00BB1B17">
        <w:rPr>
          <w:rFonts w:cstheme="minorHAnsi"/>
        </w:rPr>
        <w:t>Co istotne</w:t>
      </w:r>
      <w:r w:rsidR="000F5CAB">
        <w:rPr>
          <w:rFonts w:cstheme="minorHAnsi"/>
        </w:rPr>
        <w:t>,</w:t>
      </w:r>
      <w:r w:rsidRPr="00BB1B17">
        <w:rPr>
          <w:rFonts w:cstheme="minorHAnsi"/>
        </w:rPr>
        <w:t xml:space="preserve"> podwyższono poziom dofinansowania dla projektów Funduszu Spójności do 85%</w:t>
      </w:r>
      <w:r w:rsidR="000F5CAB">
        <w:rPr>
          <w:rFonts w:cstheme="minorHAnsi"/>
        </w:rPr>
        <w:t>, który jest niezależy od kategorii regionów, zatem dotyczy także regionu warszawskiego stołecznego</w:t>
      </w:r>
    </w:p>
    <w:p w14:paraId="05C800F7" w14:textId="77777777" w:rsidR="00600C81" w:rsidRPr="00B262BE" w:rsidRDefault="00600C81" w:rsidP="00B262BE">
      <w:pPr>
        <w:rPr>
          <w:rFonts w:asciiTheme="majorHAnsi" w:hAnsiTheme="majorHAnsi" w:cstheme="majorHAnsi"/>
          <w:color w:val="0070C0"/>
          <w:sz w:val="24"/>
        </w:rPr>
      </w:pPr>
      <w:r w:rsidRPr="00B262BE">
        <w:rPr>
          <w:rFonts w:asciiTheme="majorHAnsi" w:hAnsiTheme="majorHAnsi" w:cstheme="majorHAnsi"/>
          <w:color w:val="0070C0"/>
          <w:sz w:val="24"/>
        </w:rPr>
        <w:t>Programy</w:t>
      </w:r>
    </w:p>
    <w:p w14:paraId="64D9B76E" w14:textId="1ECEAAA2" w:rsidR="00600C81" w:rsidRPr="00BB1B17" w:rsidRDefault="00600C81" w:rsidP="00600C81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</w:rPr>
      </w:pPr>
      <w:r w:rsidRPr="00BB1B17">
        <w:rPr>
          <w:rFonts w:cstheme="minorHAnsi"/>
          <w:color w:val="000000"/>
        </w:rPr>
        <w:t>Jak wspomniano powyżej, proponuje się kontynuacj</w:t>
      </w:r>
      <w:r>
        <w:rPr>
          <w:rFonts w:cstheme="minorHAnsi"/>
          <w:color w:val="000000"/>
        </w:rPr>
        <w:t>ę</w:t>
      </w:r>
      <w:r w:rsidRPr="00BB1B17">
        <w:rPr>
          <w:rFonts w:cstheme="minorHAnsi"/>
          <w:color w:val="000000"/>
        </w:rPr>
        <w:t xml:space="preserve"> realizacji programów regionaln</w:t>
      </w:r>
      <w:r>
        <w:rPr>
          <w:rFonts w:cstheme="minorHAnsi"/>
          <w:color w:val="000000"/>
        </w:rPr>
        <w:t>ych</w:t>
      </w:r>
      <w:r w:rsidRPr="00BB1B17">
        <w:rPr>
          <w:rFonts w:cstheme="minorHAnsi"/>
          <w:color w:val="000000"/>
        </w:rPr>
        <w:t xml:space="preserve"> oraz krajowych dla reg</w:t>
      </w:r>
      <w:r w:rsidR="000F5CAB">
        <w:rPr>
          <w:rFonts w:cstheme="minorHAnsi"/>
          <w:color w:val="000000"/>
        </w:rPr>
        <w:t>i</w:t>
      </w:r>
      <w:r w:rsidRPr="00BB1B17">
        <w:rPr>
          <w:rFonts w:cstheme="minorHAnsi"/>
          <w:color w:val="000000"/>
        </w:rPr>
        <w:t>onów słabiej rozwiniętych, w tym mazowieckiego regionalnego.</w:t>
      </w:r>
    </w:p>
    <w:p w14:paraId="0F5EDD8B" w14:textId="06909679" w:rsidR="00600C81" w:rsidRPr="00BB1B17" w:rsidRDefault="00600C81" w:rsidP="00600C81">
      <w:pPr>
        <w:spacing w:after="120"/>
        <w:jc w:val="both"/>
        <w:rPr>
          <w:rFonts w:cstheme="minorHAnsi"/>
        </w:rPr>
      </w:pPr>
      <w:r w:rsidRPr="00BB1B17">
        <w:rPr>
          <w:rFonts w:cstheme="minorHAnsi"/>
        </w:rPr>
        <w:t xml:space="preserve">W zależności od podjętej decyzji odnośnie przesunięcia środków z regionów słabiej rozwiniętych (ale nie z alokacji na RPO) do regionu lepiej rozwiniętego, </w:t>
      </w:r>
      <w:r w:rsidR="004C411D">
        <w:rPr>
          <w:rFonts w:cstheme="minorHAnsi"/>
        </w:rPr>
        <w:t xml:space="preserve">alokacja dla </w:t>
      </w:r>
      <w:r w:rsidRPr="00BB1B17">
        <w:rPr>
          <w:rFonts w:cstheme="minorHAnsi"/>
        </w:rPr>
        <w:t>regionu warszawskiego stołecznego</w:t>
      </w:r>
      <w:r w:rsidR="004C411D">
        <w:rPr>
          <w:rFonts w:cstheme="minorHAnsi"/>
        </w:rPr>
        <w:t xml:space="preserve"> wynie</w:t>
      </w:r>
      <w:r w:rsidR="000F5CAB">
        <w:rPr>
          <w:rFonts w:cstheme="minorHAnsi"/>
        </w:rPr>
        <w:t>s</w:t>
      </w:r>
      <w:r w:rsidR="004C411D">
        <w:rPr>
          <w:rFonts w:cstheme="minorHAnsi"/>
        </w:rPr>
        <w:t>ie</w:t>
      </w:r>
      <w:r w:rsidRPr="00BB1B17">
        <w:rPr>
          <w:rFonts w:cstheme="minorHAnsi"/>
        </w:rPr>
        <w:t>:</w:t>
      </w:r>
    </w:p>
    <w:p w14:paraId="4565C429" w14:textId="77777777" w:rsidR="00600C81" w:rsidRPr="00035BBF" w:rsidRDefault="00600C81" w:rsidP="00600C81">
      <w:pPr>
        <w:pStyle w:val="Akapitzlist"/>
        <w:numPr>
          <w:ilvl w:val="0"/>
          <w:numId w:val="28"/>
        </w:numPr>
        <w:spacing w:after="120" w:line="240" w:lineRule="auto"/>
        <w:contextualSpacing w:val="0"/>
        <w:jc w:val="both"/>
        <w:rPr>
          <w:rFonts w:cstheme="minorHAnsi"/>
          <w:color w:val="000000"/>
        </w:rPr>
      </w:pPr>
      <w:r w:rsidRPr="00035BBF">
        <w:rPr>
          <w:rFonts w:cstheme="minorHAnsi"/>
          <w:color w:val="000000"/>
        </w:rPr>
        <w:t xml:space="preserve">Alokacja dla regionu nie zostaje powiększona i wynosi ok. </w:t>
      </w:r>
      <w:r w:rsidR="004C411D" w:rsidRPr="00035BBF">
        <w:rPr>
          <w:rFonts w:cstheme="minorHAnsi"/>
          <w:color w:val="000000"/>
        </w:rPr>
        <w:t>135</w:t>
      </w:r>
      <w:r w:rsidRPr="00035BBF">
        <w:rPr>
          <w:rFonts w:cstheme="minorHAnsi"/>
          <w:color w:val="000000"/>
        </w:rPr>
        <w:t xml:space="preserve"> mln euro. </w:t>
      </w:r>
    </w:p>
    <w:p w14:paraId="6C23283E" w14:textId="77777777" w:rsidR="00600C81" w:rsidRPr="00035BBF" w:rsidRDefault="00600C81" w:rsidP="00600C81">
      <w:pPr>
        <w:pStyle w:val="Akapitzlist"/>
        <w:numPr>
          <w:ilvl w:val="0"/>
          <w:numId w:val="28"/>
        </w:numPr>
        <w:spacing w:after="120" w:line="240" w:lineRule="auto"/>
        <w:contextualSpacing w:val="0"/>
        <w:jc w:val="both"/>
        <w:rPr>
          <w:rFonts w:cstheme="minorHAnsi"/>
          <w:color w:val="000000"/>
        </w:rPr>
      </w:pPr>
      <w:r w:rsidRPr="00035BBF">
        <w:rPr>
          <w:rFonts w:cstheme="minorHAnsi"/>
          <w:color w:val="000000"/>
        </w:rPr>
        <w:t xml:space="preserve">Alokacja dla regionu zostaje powiększona i wynosi ok. </w:t>
      </w:r>
      <w:r w:rsidR="004C411D" w:rsidRPr="00035BBF">
        <w:rPr>
          <w:rFonts w:cstheme="minorHAnsi"/>
          <w:color w:val="000000"/>
        </w:rPr>
        <w:t>235</w:t>
      </w:r>
      <w:r w:rsidRPr="00035BBF">
        <w:rPr>
          <w:rFonts w:cstheme="minorHAnsi"/>
          <w:color w:val="000000"/>
        </w:rPr>
        <w:t xml:space="preserve"> mln euro. </w:t>
      </w:r>
    </w:p>
    <w:p w14:paraId="1BCBBA14" w14:textId="4554E756" w:rsidR="004C411D" w:rsidRPr="004C411D" w:rsidRDefault="004C411D" w:rsidP="004C411D">
      <w:pPr>
        <w:spacing w:after="12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Niezależnie od przyjętego wariantu </w:t>
      </w:r>
      <w:r w:rsidRPr="004C411D">
        <w:rPr>
          <w:rFonts w:cstheme="minorHAnsi"/>
          <w:color w:val="000000"/>
        </w:rPr>
        <w:t>proponuje się przeznaczenie środków na realizacj</w:t>
      </w:r>
      <w:r w:rsidR="00035BBF">
        <w:rPr>
          <w:rFonts w:cstheme="minorHAnsi"/>
          <w:color w:val="000000"/>
        </w:rPr>
        <w:t>ę działań aktualnie ujętych w programach</w:t>
      </w:r>
      <w:r w:rsidRPr="004C411D">
        <w:rPr>
          <w:rFonts w:cstheme="minorHAnsi"/>
          <w:color w:val="000000"/>
        </w:rPr>
        <w:t xml:space="preserve"> </w:t>
      </w:r>
      <w:r w:rsidR="0031469C">
        <w:rPr>
          <w:rFonts w:cstheme="minorHAnsi"/>
          <w:color w:val="000000"/>
        </w:rPr>
        <w:t xml:space="preserve">będących kontynuacją obecnych PO </w:t>
      </w:r>
      <w:r w:rsidRPr="004C411D">
        <w:rPr>
          <w:rFonts w:cstheme="minorHAnsi"/>
          <w:color w:val="000000"/>
        </w:rPr>
        <w:t>IR</w:t>
      </w:r>
      <w:r w:rsidR="0031469C">
        <w:rPr>
          <w:rFonts w:cstheme="minorHAnsi"/>
          <w:color w:val="000000"/>
        </w:rPr>
        <w:t xml:space="preserve">, </w:t>
      </w:r>
      <w:r w:rsidRPr="004C411D">
        <w:rPr>
          <w:rFonts w:cstheme="minorHAnsi"/>
          <w:color w:val="000000"/>
        </w:rPr>
        <w:t xml:space="preserve"> </w:t>
      </w:r>
      <w:r w:rsidR="0031469C">
        <w:rPr>
          <w:rFonts w:cstheme="minorHAnsi"/>
          <w:color w:val="000000"/>
        </w:rPr>
        <w:t xml:space="preserve">PO </w:t>
      </w:r>
      <w:r w:rsidRPr="004C411D">
        <w:rPr>
          <w:rFonts w:cstheme="minorHAnsi"/>
          <w:color w:val="000000"/>
        </w:rPr>
        <w:t>WER</w:t>
      </w:r>
      <w:r w:rsidR="0031469C">
        <w:rPr>
          <w:rFonts w:cstheme="minorHAnsi"/>
          <w:color w:val="000000"/>
        </w:rPr>
        <w:t>, PO PC oraz PO PT</w:t>
      </w:r>
      <w:r w:rsidRPr="004C411D">
        <w:rPr>
          <w:rFonts w:cstheme="minorHAnsi"/>
          <w:color w:val="000000"/>
        </w:rPr>
        <w:t>.</w:t>
      </w:r>
    </w:p>
    <w:p w14:paraId="79ADC64B" w14:textId="77777777" w:rsidR="0055567A" w:rsidRPr="0087091C" w:rsidRDefault="0055567A" w:rsidP="004B24F9">
      <w:pPr>
        <w:pStyle w:val="Nagwek1"/>
        <w:numPr>
          <w:ilvl w:val="0"/>
          <w:numId w:val="19"/>
        </w:numPr>
        <w:spacing w:after="240"/>
        <w:ind w:left="993" w:hanging="426"/>
        <w:jc w:val="both"/>
        <w:rPr>
          <w:rFonts w:eastAsiaTheme="minorEastAsia"/>
          <w:b/>
        </w:rPr>
      </w:pPr>
      <w:bookmarkStart w:id="9" w:name="_Toc55888887"/>
      <w:r w:rsidRPr="0087091C">
        <w:rPr>
          <w:rFonts w:eastAsiaTheme="minorEastAsia"/>
          <w:b/>
        </w:rPr>
        <w:lastRenderedPageBreak/>
        <w:t>Alokacja w ramach innych instrumentów objętych pakietem WRF 2021-2027 i Europejskiego Instrumentu na rzecz Odbudowy</w:t>
      </w:r>
      <w:bookmarkEnd w:id="9"/>
      <w:r w:rsidR="00420660" w:rsidRPr="0087091C">
        <w:rPr>
          <w:rFonts w:eastAsiaTheme="minorEastAsia"/>
          <w:b/>
        </w:rPr>
        <w:t xml:space="preserve"> </w:t>
      </w:r>
    </w:p>
    <w:p w14:paraId="1A9D2981" w14:textId="77777777" w:rsidR="0055567A" w:rsidRPr="0087091C" w:rsidRDefault="00A36105" w:rsidP="00A15CA2">
      <w:pPr>
        <w:spacing w:before="240"/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</w:pPr>
      <w:r w:rsidRPr="0087091C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 xml:space="preserve">Instrument na rzecz Odbudowy i </w:t>
      </w:r>
      <w:r w:rsidR="00420660" w:rsidRPr="0087091C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>Z</w:t>
      </w:r>
      <w:r w:rsidRPr="0087091C">
        <w:rPr>
          <w:rFonts w:asciiTheme="majorHAnsi" w:eastAsia="Arial Unicode MS" w:hAnsiTheme="majorHAnsi" w:cstheme="majorHAnsi"/>
          <w:color w:val="2E74B5" w:themeColor="accent1" w:themeShade="BF"/>
          <w:sz w:val="28"/>
          <w:szCs w:val="28"/>
        </w:rPr>
        <w:t xml:space="preserve">większenia Odporności </w:t>
      </w:r>
    </w:p>
    <w:p w14:paraId="1A4DEFE4" w14:textId="77777777" w:rsidR="00A00B0D" w:rsidRDefault="00A00B0D" w:rsidP="00A00B0D">
      <w:pPr>
        <w:jc w:val="both"/>
      </w:pPr>
      <w:r>
        <w:t xml:space="preserve">Kluczowym instrumentem walki ze skutkami kryzysu gospodarczego wywołanego pandemią wirusa Covid-19 na poziomie unijnym ma być Instrument na Rzecz Odbudowy i Rozwoju (Recovery and Resilience Facility, RRF), dysponujący środkami w kwocie 672,5 mld euro. Instrument ten oferuje dwie formy wsparcia w postaci pomocy bezzwrotnej (granty) - z pulą środków 312,5 mld euro oraz pomocy zwrotnej (pożyczki) - z pulą środków 360 mld euro. </w:t>
      </w:r>
    </w:p>
    <w:p w14:paraId="3AF8AFE2" w14:textId="77777777" w:rsidR="00A00B0D" w:rsidRDefault="00A00B0D" w:rsidP="00A00B0D">
      <w:pPr>
        <w:jc w:val="both"/>
      </w:pPr>
      <w:r>
        <w:t>Alokacja dla Polski dostępna w ramach pomocy zwrotnej z RRF (6</w:t>
      </w:r>
      <w:r w:rsidR="00B262BE">
        <w:t>,8% DNB) wynosi 34,2 mld euro w </w:t>
      </w:r>
      <w:r>
        <w:t xml:space="preserve">cenach bieżących oraz 31,9 mld euro w cenach stałych (2018). </w:t>
      </w:r>
    </w:p>
    <w:p w14:paraId="71803176" w14:textId="77777777" w:rsidR="00A00B0D" w:rsidRDefault="00A00B0D" w:rsidP="00A00B0D">
      <w:pPr>
        <w:jc w:val="both"/>
      </w:pPr>
      <w:r>
        <w:t>Alokacja dla Polski dostępna w ramach pomocy bezzwrotnej z RRF wynosi ok. 23,1 mld euro</w:t>
      </w:r>
      <w:r w:rsidR="00B262BE">
        <w:t xml:space="preserve"> (w </w:t>
      </w:r>
      <w:r w:rsidR="00EF47FC">
        <w:t>cenach stałych)</w:t>
      </w:r>
      <w:r>
        <w:t>, z czego 18,9 mld euro w ramach 70% środków, które mają zostać rozdysponowane do końca 2022 r. oraz 4,2 mld euro w ramach 30% środków, które mają zostać rozdysponowane do końca 2023 r.</w:t>
      </w:r>
      <w:r w:rsidR="00EF47FC">
        <w:t xml:space="preserve"> Klucz podziału środków bazuje w części o wartości 70% na metodologii zaproponowanej w maju przez KE (wskaźniki makro do 2019 r.), a w części 30% na tej samej metodologii, z zastąpieniem wskaźnika bezrobocia wskaźnikiem realnego spadk</w:t>
      </w:r>
      <w:r w:rsidR="00B262BE">
        <w:t>u PKB p.cz. w </w:t>
      </w:r>
      <w:r w:rsidR="00EF47FC">
        <w:t>2020 r. (dla 50% tej puli środków) oraz wskaźnikiem skumulowan</w:t>
      </w:r>
      <w:r w:rsidR="00B262BE">
        <w:t>ego realnego spadku PKB p.cz. w </w:t>
      </w:r>
      <w:r w:rsidR="00EF47FC">
        <w:t xml:space="preserve">latach 2020-2021 (dla pozostałych 50% środków z tej puli). </w:t>
      </w:r>
    </w:p>
    <w:p w14:paraId="5DF67D31" w14:textId="77777777" w:rsidR="007B266A" w:rsidRDefault="00A00B0D" w:rsidP="00A00B0D">
      <w:pPr>
        <w:jc w:val="both"/>
      </w:pPr>
      <w:r>
        <w:t>Środki z RRF wypłacane będą na podstawie krajowych planów odbudowy, które w ramach semestru europejskiego można przedkładać Komisji Europejskiej najpóźniej do kwietnia 2023 r.</w:t>
      </w:r>
      <w:r w:rsidR="007B266A">
        <w:t xml:space="preserve"> Procedurę składania KPO można rozpocząć już teraz nawiązując robocze kontakty z KE. Od października br. możliwe będzie składanie roboczych projektów KPO, a od początku 2021 r. (od momentu prawnego uruchomienia RRF) finalnych wniosków.</w:t>
      </w:r>
    </w:p>
    <w:p w14:paraId="542DAE6C" w14:textId="77777777" w:rsidR="00A00B0D" w:rsidRDefault="00A00B0D" w:rsidP="00A00B0D">
      <w:pPr>
        <w:jc w:val="both"/>
      </w:pPr>
      <w:r>
        <w:t>Po akceptacji KPO ze strony KE oraz Rady transze środków wypłacane będą na podstawie realizacji celów pośrednich określonych w KPO. Projekty inwestycji oraz reform kwalifikujących się do wsparcia finansowego ze środków z RRF muszę spełniać ściśle określone wymagania tj. m.in. odpowiadać na rekomendacje (CSR) zgłaszane przez Radę państwom członkowskim w ramach semestru europejskiego, sprzyjać zielonej i cyfrowej transformacji, zwiększać potencjał gospodarczy, tworzyć nowe miejsca pracy.</w:t>
      </w:r>
    </w:p>
    <w:p w14:paraId="7789351B" w14:textId="77777777" w:rsidR="00A00B0D" w:rsidRDefault="00A00B0D" w:rsidP="00A00B0D">
      <w:pPr>
        <w:jc w:val="both"/>
      </w:pPr>
      <w:r w:rsidRPr="00ED42B1">
        <w:t>Krajowe Plany Odbudowy, przygotowane przez p.cz., mają zawierać harmonogram realizacji projektów inwestycyjnych i reform.</w:t>
      </w:r>
      <w:r>
        <w:t xml:space="preserve"> </w:t>
      </w:r>
      <w:r w:rsidRPr="00CC183F">
        <w:t xml:space="preserve">Fakt zakończenia procesu realizacji płatności ze strony KE do końca 2026 oznacza, iż okres realizacji inwestycji i reform nie może być dłuższy niż 6 lat. </w:t>
      </w:r>
      <w:r w:rsidRPr="00ED42B1">
        <w:t>Plany zostaną poddane procedurze przeglądu i aktualizacji w 2022 r. pod kątem finalnego podziału środków w 2023 r.</w:t>
      </w:r>
      <w:r>
        <w:t xml:space="preserve"> </w:t>
      </w:r>
      <w:r w:rsidRPr="00ED42B1">
        <w:t>Komisja Europejska ma dwa miesiące na ocenę KPO. Ocena KPO powinna zostać zatwierdzona przez Radę kwalifikowaną większością głosów na wniosek Komisji, w drodze aktu wykonawczego, który Rada podejmie w ciągu 4 tygodni od złożenia wniosku.</w:t>
      </w:r>
    </w:p>
    <w:p w14:paraId="65C73EC6" w14:textId="77777777" w:rsidR="00A00B0D" w:rsidRDefault="00A00B0D" w:rsidP="00A00B0D">
      <w:pPr>
        <w:jc w:val="both"/>
      </w:pPr>
      <w:r w:rsidRPr="00ED42B1">
        <w:t>Pozytywna ocena wniosków o płatność będzie uzależniona od zadowalającej realizacji odpowiednich kamieni milowych i celów. Komisja przyjmuje decyzję w sprawie zatwierdzenia płatności, uwzględniając opinię Komitetu Ekonomiczno-Finansowego, gdzie dla akceptacji wymagane jest osiągnięcie konsensusu. W przypadku wątpliwości p.cz. na etapie analizy wnio</w:t>
      </w:r>
      <w:r w:rsidR="00B262BE">
        <w:t>sku o płatność w </w:t>
      </w:r>
      <w:r w:rsidRPr="00ED42B1">
        <w:t xml:space="preserve">Komitecie Ekonomiczno-Finansowym, sprawa zostaje przekazana do omówienia na forum Rady </w:t>
      </w:r>
      <w:r w:rsidRPr="00ED42B1">
        <w:lastRenderedPageBreak/>
        <w:t>Europejskiej w okresie nie dłuższym niż 3 miesiące od złożenia przez KE wniosku o opinię do KEF. Proces przebiegać ma w oparciu o art. 17 TWE oraz art. 317 ToFWE.</w:t>
      </w:r>
    </w:p>
    <w:p w14:paraId="27C01669" w14:textId="77777777" w:rsidR="00E046AE" w:rsidRDefault="00E046AE" w:rsidP="00A00B0D">
      <w:pPr>
        <w:jc w:val="both"/>
      </w:pPr>
      <w:r>
        <w:t xml:space="preserve">Na bazie zaakceptowanych KPO państwa członkowskie mogą występować o środki na prefinansowanie zadań w kwocie max. 10% wartości wnioskowanego w ramach KPO wsparcia.  </w:t>
      </w:r>
    </w:p>
    <w:p w14:paraId="0F2883E1" w14:textId="77777777" w:rsidR="005362B7" w:rsidRPr="00ED42B1" w:rsidRDefault="00A00B0D" w:rsidP="00A00B0D">
      <w:pPr>
        <w:jc w:val="both"/>
      </w:pPr>
      <w:r>
        <w:t>W przypadku wnioskowania o wsparcie w ramach pomocy zwrotnej (pożyczki) z RRF, po akceptacji KPO - wyrażonej w drodze powyższe</w:t>
      </w:r>
      <w:r w:rsidR="003A48CD">
        <w:t xml:space="preserve">j procedury, KE zaciąga niejako </w:t>
      </w:r>
      <w:r>
        <w:t>w imieniu wnioskującego p.cz. dług na rynku finansowym (emisja obligacji), gwarantując możliwie najniższe koszty pozyskania finansowania. KE realizuje procedurę po uprzednim podpisaniu z p.cz. odpowiedniej umowy pożyczkowej, zawierającej sz</w:t>
      </w:r>
      <w:r w:rsidR="003A48CD">
        <w:t>czegóły pożyczki tj. m.in. kwotę pożyczki, okresy spłaty, liczbę</w:t>
      </w:r>
      <w:r>
        <w:t xml:space="preserve"> rat, oprocentowanie, itp. W dalszej kolejności, zgodnie z harmonogramem celów pośrednich, środki przekazywane są p.cz., które ponosi wszelkie koszty obsługi za</w:t>
      </w:r>
      <w:r w:rsidR="003A48CD">
        <w:t>ciągniętego przez KE zadłużenia, spłacając je na specjalnie stworzony do tego celu rachunek.</w:t>
      </w:r>
    </w:p>
    <w:p w14:paraId="2057F807" w14:textId="77777777" w:rsidR="00A36105" w:rsidRPr="0087091C" w:rsidRDefault="00A36105" w:rsidP="004B24F9">
      <w:pPr>
        <w:pStyle w:val="Nagwek1"/>
        <w:numPr>
          <w:ilvl w:val="0"/>
          <w:numId w:val="19"/>
        </w:numPr>
        <w:spacing w:after="240"/>
        <w:ind w:left="993" w:hanging="426"/>
        <w:rPr>
          <w:rFonts w:eastAsiaTheme="minorEastAsia"/>
          <w:b/>
        </w:rPr>
      </w:pPr>
      <w:bookmarkStart w:id="10" w:name="_Toc55888888"/>
      <w:r w:rsidRPr="0087091C">
        <w:rPr>
          <w:rFonts w:eastAsiaTheme="minorEastAsia"/>
          <w:b/>
        </w:rPr>
        <w:t>Instrumenty zarządzane centralnie</w:t>
      </w:r>
      <w:bookmarkEnd w:id="10"/>
    </w:p>
    <w:p w14:paraId="69D2DB3D" w14:textId="77777777" w:rsidR="00A36105" w:rsidRDefault="00101CC1" w:rsidP="005362B7">
      <w:pPr>
        <w:jc w:val="both"/>
      </w:pPr>
      <w:r>
        <w:t xml:space="preserve">W </w:t>
      </w:r>
      <w:r w:rsidR="004E5711">
        <w:t xml:space="preserve">kolejnym okresie programowania Polska, podobnie jak obecnie, będzie mogła aplikować o środki finansowe z instrumentów zarządzanych centralnie. Decyzje, co do wielkości środków finansowych przeznaczonych na te instrumenty, zostały podjęte w </w:t>
      </w:r>
      <w:r>
        <w:t>Konkluzjach Rad</w:t>
      </w:r>
      <w:r w:rsidR="004E5711">
        <w:t>y Europejskiej z dn. 21 lipca br.</w:t>
      </w:r>
      <w:r w:rsidR="00814F82">
        <w:t xml:space="preserve"> Wśród głównych instrumentów zarządzanych centralnie wskazać należy:</w:t>
      </w:r>
    </w:p>
    <w:p w14:paraId="5931A3ED" w14:textId="77777777" w:rsidR="000126D9" w:rsidRDefault="000126D9" w:rsidP="000126D9">
      <w:pPr>
        <w:pStyle w:val="Akapitzlist"/>
        <w:numPr>
          <w:ilvl w:val="0"/>
          <w:numId w:val="22"/>
        </w:numPr>
        <w:spacing w:after="120"/>
        <w:ind w:left="714" w:hanging="357"/>
        <w:contextualSpacing w:val="0"/>
        <w:jc w:val="both"/>
      </w:pPr>
      <w:r>
        <w:t xml:space="preserve">CEF: koperta finansowa na wdrożenie instrumentu "Łącząc Europę" (CEF) w latach 2021-2027 wyniesie 28,4 mld euro. </w:t>
      </w:r>
    </w:p>
    <w:p w14:paraId="606AA319" w14:textId="77777777" w:rsidR="000126D9" w:rsidRDefault="000126D9" w:rsidP="000126D9">
      <w:pPr>
        <w:pStyle w:val="Akapitzlist"/>
        <w:numPr>
          <w:ilvl w:val="1"/>
          <w:numId w:val="22"/>
        </w:numPr>
        <w:spacing w:after="120"/>
        <w:contextualSpacing w:val="0"/>
        <w:jc w:val="both"/>
      </w:pPr>
      <w:r>
        <w:t xml:space="preserve">Kwota ta zostanie rozdzielona na poszczególne sektory w następujący sposób: a) transport: 21,4 mld euro, b) energia: 5,2 mld euro, c) energia cyfrowa: 1,8 mld euro. </w:t>
      </w:r>
    </w:p>
    <w:p w14:paraId="75FFD46A" w14:textId="77777777" w:rsidR="000126D9" w:rsidRDefault="000126D9" w:rsidP="000126D9">
      <w:pPr>
        <w:pStyle w:val="Akapitzlist"/>
        <w:numPr>
          <w:ilvl w:val="1"/>
          <w:numId w:val="22"/>
        </w:numPr>
        <w:spacing w:after="120"/>
        <w:contextualSpacing w:val="0"/>
        <w:jc w:val="both"/>
      </w:pPr>
      <w:r>
        <w:t xml:space="preserve">W przypadku CEF występuje obowiązkowy transfer z Funduszu Spójności dla wszystkich państw objętych tym funduszem. </w:t>
      </w:r>
      <w:r w:rsidRPr="000126D9">
        <w:t>30% transferu</w:t>
      </w:r>
      <w:r>
        <w:t xml:space="preserve"> na CEF trafia do puli, z </w:t>
      </w:r>
      <w:r w:rsidRPr="000126D9">
        <w:t xml:space="preserve">której finansowane będą projekty zgłaszane przez państwa kwalifikujące się do Funduszu Spójności. 70% transferu jest do wykorzystania w ramach CEF przez odpowiednie p.cz. do 2023. Po tej dacie niewykorzystane fundusze </w:t>
      </w:r>
      <w:r>
        <w:t>w</w:t>
      </w:r>
      <w:r w:rsidRPr="000126D9">
        <w:t xml:space="preserve">pływają do wspólnej puli. </w:t>
      </w:r>
    </w:p>
    <w:p w14:paraId="7284DAA5" w14:textId="77777777" w:rsidR="000126D9" w:rsidRDefault="000126D9" w:rsidP="000126D9">
      <w:pPr>
        <w:pStyle w:val="Akapitzlist"/>
        <w:numPr>
          <w:ilvl w:val="1"/>
          <w:numId w:val="22"/>
        </w:numPr>
        <w:spacing w:after="120"/>
        <w:contextualSpacing w:val="0"/>
        <w:jc w:val="both"/>
      </w:pPr>
      <w:r w:rsidRPr="000126D9">
        <w:t>W przypadku Polski transfer do CEF ma wynieść ok. 2,3 mld euro. 70% z tej kwoty to ok. 1,6 mld euro.</w:t>
      </w:r>
    </w:p>
    <w:p w14:paraId="6DC4DAC2" w14:textId="77777777" w:rsidR="00814F82" w:rsidRDefault="00814F82" w:rsidP="00814F82">
      <w:pPr>
        <w:pStyle w:val="Akapitzlist"/>
        <w:numPr>
          <w:ilvl w:val="0"/>
          <w:numId w:val="22"/>
        </w:numPr>
        <w:spacing w:after="120"/>
        <w:ind w:left="714" w:hanging="357"/>
        <w:contextualSpacing w:val="0"/>
        <w:jc w:val="both"/>
      </w:pPr>
      <w:r>
        <w:t>Horyzont Europa: k</w:t>
      </w:r>
      <w:r w:rsidR="004E5711" w:rsidRPr="004E5711">
        <w:t>operta fi</w:t>
      </w:r>
      <w:r>
        <w:t>nansowa na realizację programu Horyzont Europa</w:t>
      </w:r>
      <w:r w:rsidR="004E5711" w:rsidRPr="004E5711">
        <w:t xml:space="preserve"> w latach 2021-2027 wyniesie 75</w:t>
      </w:r>
      <w:r>
        <w:t>,9 mld</w:t>
      </w:r>
      <w:r w:rsidR="004E5711" w:rsidRPr="004E5711">
        <w:t xml:space="preserve"> </w:t>
      </w:r>
      <w:r w:rsidR="00835AC5">
        <w:t>euro</w:t>
      </w:r>
      <w:r>
        <w:t xml:space="preserve"> w ramach WRF</w:t>
      </w:r>
      <w:r w:rsidR="004E5711" w:rsidRPr="004E5711">
        <w:t>.</w:t>
      </w:r>
      <w:r>
        <w:t xml:space="preserve"> Dodatkowo, w ramach EIO, budżet instrumentu zostanie zasilony środkami w wysokości 5 mld euro.</w:t>
      </w:r>
    </w:p>
    <w:p w14:paraId="6097303C" w14:textId="77777777" w:rsidR="000126D9" w:rsidRDefault="000126D9" w:rsidP="000126D9">
      <w:pPr>
        <w:pStyle w:val="Akapitzlist"/>
        <w:numPr>
          <w:ilvl w:val="0"/>
          <w:numId w:val="22"/>
        </w:numPr>
        <w:spacing w:after="120"/>
        <w:ind w:left="714" w:hanging="357"/>
        <w:contextualSpacing w:val="0"/>
        <w:jc w:val="both"/>
      </w:pPr>
      <w:r>
        <w:t>InvestEU: alokacja</w:t>
      </w:r>
      <w:r w:rsidRPr="00814F82">
        <w:t xml:space="preserve"> dla funduszu InvestEU na lata 2021-2027 wynosi</w:t>
      </w:r>
      <w:r>
        <w:t>ć będzie</w:t>
      </w:r>
      <w:r w:rsidRPr="00814F82">
        <w:t xml:space="preserve"> 2</w:t>
      </w:r>
      <w:r>
        <w:t>,</w:t>
      </w:r>
      <w:r w:rsidRPr="00814F82">
        <w:t>8 ml</w:t>
      </w:r>
      <w:r>
        <w:t>d</w:t>
      </w:r>
      <w:r w:rsidRPr="00814F82">
        <w:t xml:space="preserve"> </w:t>
      </w:r>
      <w:r>
        <w:t>euro</w:t>
      </w:r>
      <w:r w:rsidRPr="00814F82">
        <w:t xml:space="preserve"> </w:t>
      </w:r>
      <w:r>
        <w:t>z środków WRF i zostanie uzupełniona</w:t>
      </w:r>
      <w:r w:rsidRPr="00814F82">
        <w:t xml:space="preserve"> o środki powracające pochodzące z instrumentów sprzed 2021 r. </w:t>
      </w:r>
      <w:r>
        <w:t>Dodatkowo, alokacja instrumentu zostanie zasilona środkami EIO w wysokości 5,6 mld euro.</w:t>
      </w:r>
    </w:p>
    <w:p w14:paraId="23225B0B" w14:textId="77777777" w:rsidR="000126D9" w:rsidRDefault="000126D9" w:rsidP="000126D9">
      <w:pPr>
        <w:pStyle w:val="Akapitzlist"/>
        <w:numPr>
          <w:ilvl w:val="0"/>
          <w:numId w:val="22"/>
        </w:numPr>
        <w:spacing w:after="120"/>
        <w:contextualSpacing w:val="0"/>
        <w:jc w:val="both"/>
      </w:pPr>
      <w:r>
        <w:t xml:space="preserve">Life: koperta finansowa programu w latach 2021-2027 wyniesie 4,8 mld euro. </w:t>
      </w:r>
    </w:p>
    <w:p w14:paraId="780B8863" w14:textId="77777777" w:rsidR="000126D9" w:rsidRDefault="000126D9" w:rsidP="000126D9">
      <w:pPr>
        <w:pStyle w:val="Akapitzlist"/>
        <w:numPr>
          <w:ilvl w:val="0"/>
          <w:numId w:val="22"/>
        </w:numPr>
        <w:spacing w:after="120"/>
        <w:contextualSpacing w:val="0"/>
        <w:jc w:val="both"/>
      </w:pPr>
      <w:r>
        <w:t>Program Zdrowie: k</w:t>
      </w:r>
      <w:r w:rsidRPr="00814F82">
        <w:t>operta finansowa programu w dziedzinie zdrowia w ramach wieloletnich ram fi</w:t>
      </w:r>
      <w:r>
        <w:t>nansowych wyniesie prawie 1,7 mld euro.</w:t>
      </w:r>
    </w:p>
    <w:p w14:paraId="6D7C4489" w14:textId="77777777" w:rsidR="000126D9" w:rsidRDefault="000126D9" w:rsidP="000126D9">
      <w:pPr>
        <w:pStyle w:val="Akapitzlist"/>
        <w:numPr>
          <w:ilvl w:val="0"/>
          <w:numId w:val="22"/>
        </w:numPr>
        <w:spacing w:after="120"/>
        <w:contextualSpacing w:val="0"/>
        <w:jc w:val="both"/>
      </w:pPr>
      <w:r>
        <w:lastRenderedPageBreak/>
        <w:t>Program na rzecz jednolitego rynku (którego częścią będzie COSME): alokacja w przyszłej perspektywie wyniesie 3,7 mld euro.</w:t>
      </w:r>
    </w:p>
    <w:p w14:paraId="535E1E4D" w14:textId="77777777" w:rsidR="0028741C" w:rsidRDefault="0028741C" w:rsidP="0028741C">
      <w:pPr>
        <w:pStyle w:val="Akapitzlist"/>
        <w:numPr>
          <w:ilvl w:val="0"/>
          <w:numId w:val="22"/>
        </w:numPr>
        <w:spacing w:after="120"/>
        <w:contextualSpacing w:val="0"/>
        <w:jc w:val="both"/>
      </w:pPr>
      <w:r>
        <w:t>Erasmus+: k</w:t>
      </w:r>
      <w:r w:rsidRPr="004E5711">
        <w:t>operta fi</w:t>
      </w:r>
      <w:r>
        <w:t xml:space="preserve">nansowa na realizację programu Erasmus+ wyniesie 21,2 mld euro. </w:t>
      </w:r>
    </w:p>
    <w:p w14:paraId="5CBD446A" w14:textId="77777777" w:rsidR="00026264" w:rsidRDefault="0028741C" w:rsidP="00814F82">
      <w:pPr>
        <w:pStyle w:val="Akapitzlist"/>
        <w:numPr>
          <w:ilvl w:val="0"/>
          <w:numId w:val="22"/>
        </w:numPr>
        <w:spacing w:after="120"/>
        <w:contextualSpacing w:val="0"/>
        <w:jc w:val="both"/>
      </w:pPr>
      <w:r>
        <w:t xml:space="preserve">Europejski Korpus Solidarności: </w:t>
      </w:r>
      <w:r w:rsidR="00AC6AB5">
        <w:t>alokacja</w:t>
      </w:r>
      <w:r>
        <w:t xml:space="preserve"> wyniesie 0,9 mld euro.</w:t>
      </w:r>
    </w:p>
    <w:p w14:paraId="63F68B8B" w14:textId="77777777" w:rsidR="00137797" w:rsidRDefault="00137797">
      <w:pPr>
        <w:rPr>
          <w:rFonts w:asciiTheme="majorHAnsi" w:eastAsiaTheme="min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rFonts w:eastAsiaTheme="minorEastAsia"/>
          <w:b/>
        </w:rPr>
        <w:br w:type="page"/>
      </w:r>
    </w:p>
    <w:p w14:paraId="04544910" w14:textId="77777777" w:rsidR="00137797" w:rsidRPr="0087091C" w:rsidRDefault="00137797" w:rsidP="00137797">
      <w:pPr>
        <w:pStyle w:val="Nagwek1"/>
        <w:spacing w:after="240"/>
        <w:rPr>
          <w:rFonts w:eastAsiaTheme="minorEastAsia"/>
          <w:b/>
        </w:rPr>
      </w:pPr>
      <w:bookmarkStart w:id="11" w:name="_Toc55888889"/>
      <w:r>
        <w:rPr>
          <w:rFonts w:eastAsiaTheme="minorEastAsia"/>
          <w:b/>
        </w:rPr>
        <w:lastRenderedPageBreak/>
        <w:t>Aneks 1 - Lista instrumentów</w:t>
      </w:r>
      <w:r w:rsidRPr="0087091C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>WRF i EIO</w:t>
      </w:r>
      <w:bookmarkEnd w:id="11"/>
    </w:p>
    <w:tbl>
      <w:tblPr>
        <w:tblW w:w="5541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7"/>
        <w:gridCol w:w="3686"/>
        <w:gridCol w:w="2275"/>
        <w:gridCol w:w="1937"/>
      </w:tblGrid>
      <w:tr w:rsidR="00137797" w:rsidRPr="009175C6" w14:paraId="596B394D" w14:textId="77777777" w:rsidTr="008B14F1">
        <w:tc>
          <w:tcPr>
            <w:tcW w:w="5000" w:type="pct"/>
            <w:gridSpan w:val="4"/>
            <w:shd w:val="clear" w:color="auto" w:fill="DBE5F1"/>
          </w:tcPr>
          <w:p w14:paraId="30839E11" w14:textId="77777777" w:rsidR="00137797" w:rsidRDefault="00137797" w:rsidP="008B14F1">
            <w:pPr>
              <w:spacing w:before="60" w:after="60" w:line="240" w:lineRule="auto"/>
              <w:jc w:val="center"/>
              <w:rPr>
                <w:b/>
                <w:bCs/>
              </w:rPr>
            </w:pPr>
            <w:r>
              <w:br w:type="page"/>
            </w:r>
            <w:r w:rsidRPr="009175C6">
              <w:rPr>
                <w:b/>
                <w:bCs/>
              </w:rPr>
              <w:t>WRF</w:t>
            </w:r>
          </w:p>
          <w:p w14:paraId="4453AEF1" w14:textId="77777777" w:rsidR="00137797" w:rsidRPr="009175C6" w:rsidRDefault="00137797" w:rsidP="008B14F1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6A5B72">
              <w:rPr>
                <w:bCs/>
              </w:rPr>
              <w:t>(z włączeniem części w ramach EIO)</w:t>
            </w:r>
          </w:p>
        </w:tc>
      </w:tr>
      <w:tr w:rsidR="00137797" w:rsidRPr="008766B2" w14:paraId="7AD5C900" w14:textId="77777777" w:rsidTr="008B14F1">
        <w:tc>
          <w:tcPr>
            <w:tcW w:w="5000" w:type="pct"/>
            <w:gridSpan w:val="4"/>
            <w:shd w:val="clear" w:color="auto" w:fill="B8CCE4"/>
          </w:tcPr>
          <w:p w14:paraId="01823271" w14:textId="77777777" w:rsidR="00137797" w:rsidRPr="008766B2" w:rsidRDefault="00137797" w:rsidP="008B14F1">
            <w:pPr>
              <w:spacing w:before="60" w:after="60" w:line="240" w:lineRule="auto"/>
              <w:jc w:val="center"/>
              <w:rPr>
                <w:b/>
                <w:bCs/>
                <w:lang w:val="en-US"/>
              </w:rPr>
            </w:pPr>
            <w:r w:rsidRPr="008766B2">
              <w:rPr>
                <w:b/>
                <w:bCs/>
                <w:lang w:val="en-US"/>
              </w:rPr>
              <w:t>I. Single Market, Innovation and Digital</w:t>
            </w:r>
          </w:p>
        </w:tc>
      </w:tr>
      <w:tr w:rsidR="00137797" w:rsidRPr="00810B3C" w14:paraId="04F422B5" w14:textId="77777777" w:rsidTr="008B14F1">
        <w:tc>
          <w:tcPr>
            <w:tcW w:w="1077" w:type="pct"/>
          </w:tcPr>
          <w:p w14:paraId="768D0ECB" w14:textId="77777777" w:rsidR="00137797" w:rsidRPr="00810B3C" w:rsidRDefault="00137797" w:rsidP="008B14F1">
            <w:pPr>
              <w:spacing w:before="60" w:after="60" w:line="240" w:lineRule="auto"/>
              <w:ind w:left="13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instrument/fundusz</w:t>
            </w:r>
          </w:p>
        </w:tc>
        <w:tc>
          <w:tcPr>
            <w:tcW w:w="1831" w:type="pct"/>
          </w:tcPr>
          <w:p w14:paraId="1C7D68A0" w14:textId="77777777" w:rsidR="00137797" w:rsidRPr="00810B3C" w:rsidRDefault="00137797" w:rsidP="008B14F1">
            <w:pPr>
              <w:spacing w:before="60" w:after="60" w:line="240" w:lineRule="auto"/>
              <w:ind w:left="228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zakres</w:t>
            </w:r>
          </w:p>
        </w:tc>
        <w:tc>
          <w:tcPr>
            <w:tcW w:w="1130" w:type="pct"/>
          </w:tcPr>
          <w:p w14:paraId="122384BD" w14:textId="77777777" w:rsidR="00137797" w:rsidRPr="00810B3C" w:rsidRDefault="00137797" w:rsidP="008B14F1">
            <w:pPr>
              <w:spacing w:before="60" w:after="60" w:line="240" w:lineRule="auto"/>
              <w:ind w:left="23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alokacja UE/ alokacja dla Polski</w:t>
            </w:r>
          </w:p>
        </w:tc>
        <w:tc>
          <w:tcPr>
            <w:tcW w:w="962" w:type="pct"/>
          </w:tcPr>
          <w:p w14:paraId="77A80C7E" w14:textId="77777777" w:rsidR="00137797" w:rsidRPr="00810B3C" w:rsidRDefault="00137797" w:rsidP="008B14F1">
            <w:pPr>
              <w:spacing w:before="60" w:after="60" w:line="240" w:lineRule="auto"/>
              <w:ind w:left="23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udział % Polski</w:t>
            </w:r>
          </w:p>
        </w:tc>
      </w:tr>
      <w:tr w:rsidR="00137797" w:rsidRPr="003B4A7E" w14:paraId="0022A2E1" w14:textId="77777777" w:rsidTr="008B14F1">
        <w:tc>
          <w:tcPr>
            <w:tcW w:w="1077" w:type="pct"/>
          </w:tcPr>
          <w:p w14:paraId="24E420A5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Horyzont Europa</w:t>
            </w:r>
          </w:p>
        </w:tc>
        <w:tc>
          <w:tcPr>
            <w:tcW w:w="1831" w:type="pct"/>
          </w:tcPr>
          <w:p w14:paraId="5EC517D5" w14:textId="77777777" w:rsidR="00137797" w:rsidRPr="003B4A7E" w:rsidRDefault="00137797" w:rsidP="008B14F1">
            <w:pPr>
              <w:spacing w:before="60" w:after="60" w:line="240" w:lineRule="auto"/>
              <w:ind w:left="228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R&amp;D</w:t>
            </w:r>
          </w:p>
        </w:tc>
        <w:tc>
          <w:tcPr>
            <w:tcW w:w="1130" w:type="pct"/>
          </w:tcPr>
          <w:p w14:paraId="4A302191" w14:textId="77777777" w:rsidR="00137797" w:rsidRPr="003B4A7E" w:rsidRDefault="00137797" w:rsidP="008B14F1">
            <w:pPr>
              <w:spacing w:before="60" w:after="60" w:line="240" w:lineRule="auto"/>
              <w:ind w:left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 mld euro (</w:t>
            </w:r>
            <w:r w:rsidRPr="003B4A7E">
              <w:rPr>
                <w:sz w:val="18"/>
                <w:szCs w:val="18"/>
              </w:rPr>
              <w:t>75,9 mld euro</w:t>
            </w:r>
            <w:r>
              <w:rPr>
                <w:sz w:val="18"/>
                <w:szCs w:val="18"/>
              </w:rPr>
              <w:t xml:space="preserve"> w ramach WRF + 5 mld euro w ramach EIO) </w:t>
            </w:r>
          </w:p>
        </w:tc>
        <w:tc>
          <w:tcPr>
            <w:tcW w:w="962" w:type="pct"/>
          </w:tcPr>
          <w:p w14:paraId="338493B0" w14:textId="77777777" w:rsidR="00137797" w:rsidRPr="003B4A7E" w:rsidRDefault="00137797" w:rsidP="008B14F1">
            <w:pPr>
              <w:spacing w:before="60" w:after="60" w:line="240" w:lineRule="auto"/>
              <w:ind w:left="233"/>
              <w:rPr>
                <w:sz w:val="18"/>
                <w:szCs w:val="18"/>
              </w:rPr>
            </w:pPr>
          </w:p>
        </w:tc>
      </w:tr>
      <w:tr w:rsidR="00137797" w:rsidRPr="003B4A7E" w14:paraId="59BDAD9F" w14:textId="77777777" w:rsidTr="008B14F1">
        <w:tc>
          <w:tcPr>
            <w:tcW w:w="1077" w:type="pct"/>
          </w:tcPr>
          <w:p w14:paraId="4BCF4058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Euratom</w:t>
            </w:r>
          </w:p>
        </w:tc>
        <w:tc>
          <w:tcPr>
            <w:tcW w:w="1831" w:type="pct"/>
          </w:tcPr>
          <w:p w14:paraId="68E4490F" w14:textId="77777777" w:rsidR="00137797" w:rsidRPr="003B4A7E" w:rsidRDefault="00137797" w:rsidP="008B14F1">
            <w:pPr>
              <w:spacing w:before="60" w:after="60" w:line="240" w:lineRule="auto"/>
              <w:ind w:left="228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R&amp;D w zakresie rozszczepieniem jądrowym i ochroną przed promieniowaniem</w:t>
            </w:r>
          </w:p>
        </w:tc>
        <w:tc>
          <w:tcPr>
            <w:tcW w:w="1130" w:type="pct"/>
          </w:tcPr>
          <w:p w14:paraId="18D3AB8E" w14:textId="77777777" w:rsidR="00137797" w:rsidRPr="003B4A7E" w:rsidRDefault="00137797" w:rsidP="008B14F1">
            <w:pPr>
              <w:spacing w:before="60" w:after="60" w:line="240" w:lineRule="auto"/>
              <w:ind w:left="233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1,8 mld euro</w:t>
            </w:r>
          </w:p>
        </w:tc>
        <w:tc>
          <w:tcPr>
            <w:tcW w:w="962" w:type="pct"/>
          </w:tcPr>
          <w:p w14:paraId="0B6917AB" w14:textId="77777777" w:rsidR="00137797" w:rsidRPr="003B4A7E" w:rsidRDefault="00137797" w:rsidP="008B14F1">
            <w:pPr>
              <w:spacing w:before="60" w:after="60" w:line="240" w:lineRule="auto"/>
              <w:ind w:left="233"/>
              <w:rPr>
                <w:sz w:val="18"/>
                <w:szCs w:val="18"/>
              </w:rPr>
            </w:pPr>
          </w:p>
        </w:tc>
      </w:tr>
      <w:tr w:rsidR="00137797" w:rsidRPr="003B4A7E" w14:paraId="15FE6EBD" w14:textId="77777777" w:rsidTr="008B14F1">
        <w:tc>
          <w:tcPr>
            <w:tcW w:w="1077" w:type="pct"/>
          </w:tcPr>
          <w:p w14:paraId="5CBA96EF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InvestEU</w:t>
            </w:r>
          </w:p>
        </w:tc>
        <w:tc>
          <w:tcPr>
            <w:tcW w:w="1831" w:type="pct"/>
          </w:tcPr>
          <w:p w14:paraId="7D3D376C" w14:textId="77777777" w:rsidR="00137797" w:rsidRPr="003B4A7E" w:rsidRDefault="00137797" w:rsidP="008B14F1">
            <w:pPr>
              <w:spacing w:before="60" w:after="60" w:line="240" w:lineRule="auto"/>
              <w:ind w:left="228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uzupełnienie luki inwestycyjnej i poprawa poziomu inwestycji dzięki zapewnieniu gwarancji UE na akcję kredytową prowadzoną przez EBI, w Polsce – BGK</w:t>
            </w:r>
          </w:p>
        </w:tc>
        <w:tc>
          <w:tcPr>
            <w:tcW w:w="1130" w:type="pct"/>
          </w:tcPr>
          <w:p w14:paraId="308419F4" w14:textId="77777777" w:rsidR="00137797" w:rsidRPr="003B4A7E" w:rsidRDefault="00137797" w:rsidP="008B14F1">
            <w:pPr>
              <w:spacing w:before="60" w:after="60" w:line="240" w:lineRule="auto"/>
              <w:ind w:left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 mld euro (</w:t>
            </w:r>
            <w:r w:rsidRPr="003B4A7E">
              <w:rPr>
                <w:sz w:val="18"/>
                <w:szCs w:val="18"/>
              </w:rPr>
              <w:t>2,8 mld euro z WRF, 5,6 mld euro</w:t>
            </w:r>
            <w:r>
              <w:rPr>
                <w:sz w:val="18"/>
                <w:szCs w:val="18"/>
              </w:rPr>
              <w:t xml:space="preserve"> z EIO)</w:t>
            </w:r>
            <w:r w:rsidRPr="003B4A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2" w:type="pct"/>
          </w:tcPr>
          <w:p w14:paraId="56E478E3" w14:textId="77777777" w:rsidR="00137797" w:rsidRPr="003B4A7E" w:rsidRDefault="00137797" w:rsidP="008B14F1">
            <w:pPr>
              <w:spacing w:before="60" w:after="60" w:line="240" w:lineRule="auto"/>
              <w:ind w:left="233"/>
              <w:rPr>
                <w:sz w:val="18"/>
                <w:szCs w:val="18"/>
              </w:rPr>
            </w:pPr>
          </w:p>
        </w:tc>
      </w:tr>
      <w:tr w:rsidR="00137797" w:rsidRPr="003B4A7E" w14:paraId="3F7C5DD1" w14:textId="77777777" w:rsidTr="008B14F1">
        <w:tc>
          <w:tcPr>
            <w:tcW w:w="1077" w:type="pct"/>
          </w:tcPr>
          <w:p w14:paraId="5CEB0D11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CEF „Łącząc Europę”</w:t>
            </w:r>
          </w:p>
        </w:tc>
        <w:tc>
          <w:tcPr>
            <w:tcW w:w="1831" w:type="pct"/>
          </w:tcPr>
          <w:p w14:paraId="40613F29" w14:textId="77777777" w:rsidR="00137797" w:rsidRPr="003B4A7E" w:rsidRDefault="00137797" w:rsidP="008B14F1">
            <w:pPr>
              <w:spacing w:before="60" w:after="60" w:line="240" w:lineRule="auto"/>
              <w:ind w:left="228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wsparcie sieci transportowej, energetycznej oraz telekomunikacyjnej</w:t>
            </w:r>
          </w:p>
        </w:tc>
        <w:tc>
          <w:tcPr>
            <w:tcW w:w="1130" w:type="pct"/>
          </w:tcPr>
          <w:p w14:paraId="6DC0D6A4" w14:textId="77777777" w:rsidR="00137797" w:rsidRPr="003B4A7E" w:rsidRDefault="00137797" w:rsidP="008B14F1">
            <w:pPr>
              <w:spacing w:before="60" w:after="60" w:line="240" w:lineRule="auto"/>
              <w:ind w:left="233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28,4 mld euro (Transport: 21,4 mld</w:t>
            </w:r>
            <w:r>
              <w:rPr>
                <w:sz w:val="18"/>
                <w:szCs w:val="18"/>
              </w:rPr>
              <w:t xml:space="preserve"> – z czego 10 mld euro transferowane z Funduszu Spójności przy utrzymaniu kopert dla 70% transferowanych środków na okres do 2023 r.</w:t>
            </w:r>
            <w:r w:rsidRPr="003B4A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Sektor e</w:t>
            </w:r>
            <w:r w:rsidRPr="003B4A7E">
              <w:rPr>
                <w:sz w:val="18"/>
                <w:szCs w:val="18"/>
              </w:rPr>
              <w:t>nergi</w:t>
            </w:r>
            <w:r>
              <w:rPr>
                <w:sz w:val="18"/>
                <w:szCs w:val="18"/>
              </w:rPr>
              <w:t>i</w:t>
            </w:r>
            <w:r w:rsidRPr="003B4A7E">
              <w:rPr>
                <w:sz w:val="18"/>
                <w:szCs w:val="18"/>
              </w:rPr>
              <w:t>: 5,2 mld euro, cyfrow</w:t>
            </w:r>
            <w:r>
              <w:rPr>
                <w:sz w:val="18"/>
                <w:szCs w:val="18"/>
              </w:rPr>
              <w:t>y</w:t>
            </w:r>
            <w:r w:rsidRPr="003B4A7E">
              <w:rPr>
                <w:sz w:val="18"/>
                <w:szCs w:val="18"/>
              </w:rPr>
              <w:t>: 1,8 mld euro)</w:t>
            </w:r>
          </w:p>
        </w:tc>
        <w:tc>
          <w:tcPr>
            <w:tcW w:w="962" w:type="pct"/>
          </w:tcPr>
          <w:p w14:paraId="19F74E1D" w14:textId="77777777" w:rsidR="00137797" w:rsidRPr="003B4A7E" w:rsidRDefault="00137797" w:rsidP="008B14F1">
            <w:pPr>
              <w:spacing w:before="60" w:after="60" w:line="240" w:lineRule="auto"/>
              <w:ind w:left="233"/>
              <w:rPr>
                <w:sz w:val="18"/>
                <w:szCs w:val="18"/>
              </w:rPr>
            </w:pPr>
          </w:p>
        </w:tc>
      </w:tr>
      <w:tr w:rsidR="00137797" w:rsidRPr="003B4A7E" w14:paraId="0628431A" w14:textId="77777777" w:rsidTr="008B14F1">
        <w:tc>
          <w:tcPr>
            <w:tcW w:w="1077" w:type="pct"/>
          </w:tcPr>
          <w:p w14:paraId="2127E602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„Cyfrowa Europa”</w:t>
            </w:r>
          </w:p>
        </w:tc>
        <w:tc>
          <w:tcPr>
            <w:tcW w:w="1831" w:type="pct"/>
          </w:tcPr>
          <w:p w14:paraId="12AF8E5B" w14:textId="77777777" w:rsidR="00137797" w:rsidRPr="003B4A7E" w:rsidRDefault="00137797" w:rsidP="008B14F1">
            <w:pPr>
              <w:spacing w:before="60" w:after="60" w:line="240" w:lineRule="auto"/>
              <w:ind w:left="228"/>
              <w:rPr>
                <w:sz w:val="18"/>
                <w:szCs w:val="18"/>
              </w:rPr>
            </w:pPr>
            <w:r w:rsidRPr="00201D0F">
              <w:rPr>
                <w:sz w:val="18"/>
                <w:szCs w:val="18"/>
              </w:rPr>
              <w:t>obliczenia superkomputerowe, sztuczna inteligencja, cyberbezpieczeństwo, za</w:t>
            </w:r>
            <w:r>
              <w:rPr>
                <w:sz w:val="18"/>
                <w:szCs w:val="18"/>
              </w:rPr>
              <w:t xml:space="preserve">awansowane umiejętności cyfrowe, </w:t>
            </w:r>
            <w:r w:rsidRPr="00201D0F">
              <w:rPr>
                <w:sz w:val="18"/>
                <w:szCs w:val="18"/>
              </w:rPr>
              <w:t>szerokie wykorzystywanie technologii cyfrowych</w:t>
            </w:r>
          </w:p>
        </w:tc>
        <w:tc>
          <w:tcPr>
            <w:tcW w:w="1130" w:type="pct"/>
          </w:tcPr>
          <w:p w14:paraId="73F4F24D" w14:textId="77777777" w:rsidR="00137797" w:rsidRPr="003B4A7E" w:rsidRDefault="00137797" w:rsidP="008B14F1">
            <w:pPr>
              <w:spacing w:before="60" w:after="60" w:line="240" w:lineRule="auto"/>
              <w:ind w:left="233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6,8 mld euro</w:t>
            </w:r>
          </w:p>
        </w:tc>
        <w:tc>
          <w:tcPr>
            <w:tcW w:w="962" w:type="pct"/>
          </w:tcPr>
          <w:p w14:paraId="17006B7C" w14:textId="77777777" w:rsidR="00137797" w:rsidRPr="003B4A7E" w:rsidRDefault="00137797" w:rsidP="008B14F1">
            <w:pPr>
              <w:spacing w:before="60" w:after="60" w:line="240" w:lineRule="auto"/>
              <w:ind w:left="233"/>
              <w:rPr>
                <w:sz w:val="18"/>
                <w:szCs w:val="18"/>
              </w:rPr>
            </w:pPr>
          </w:p>
        </w:tc>
      </w:tr>
      <w:tr w:rsidR="00137797" w:rsidRPr="003B4A7E" w14:paraId="03A321B5" w14:textId="77777777" w:rsidTr="008B14F1">
        <w:tc>
          <w:tcPr>
            <w:tcW w:w="1077" w:type="pct"/>
          </w:tcPr>
          <w:p w14:paraId="51A2E1C2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ITER</w:t>
            </w:r>
          </w:p>
        </w:tc>
        <w:tc>
          <w:tcPr>
            <w:tcW w:w="1831" w:type="pct"/>
          </w:tcPr>
          <w:p w14:paraId="70BBBAD9" w14:textId="77777777" w:rsidR="00137797" w:rsidRPr="00201D0F" w:rsidRDefault="00137797" w:rsidP="008B14F1">
            <w:pPr>
              <w:spacing w:before="60" w:after="60" w:line="240" w:lineRule="auto"/>
              <w:ind w:left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badawczy – reaktor termonuklearny</w:t>
            </w:r>
          </w:p>
        </w:tc>
        <w:tc>
          <w:tcPr>
            <w:tcW w:w="1130" w:type="pct"/>
          </w:tcPr>
          <w:p w14:paraId="6CFBFBD5" w14:textId="77777777" w:rsidR="00137797" w:rsidRPr="003B4A7E" w:rsidRDefault="00137797" w:rsidP="008B14F1">
            <w:pPr>
              <w:spacing w:before="60" w:after="60" w:line="240" w:lineRule="auto"/>
              <w:ind w:left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mld euro</w:t>
            </w:r>
          </w:p>
        </w:tc>
        <w:tc>
          <w:tcPr>
            <w:tcW w:w="962" w:type="pct"/>
          </w:tcPr>
          <w:p w14:paraId="19F914E4" w14:textId="77777777" w:rsidR="00137797" w:rsidRPr="003B4A7E" w:rsidRDefault="00137797" w:rsidP="008B14F1">
            <w:pPr>
              <w:spacing w:before="60" w:after="60" w:line="240" w:lineRule="auto"/>
              <w:ind w:left="233"/>
              <w:rPr>
                <w:sz w:val="18"/>
                <w:szCs w:val="18"/>
              </w:rPr>
            </w:pPr>
          </w:p>
        </w:tc>
      </w:tr>
      <w:tr w:rsidR="00137797" w:rsidRPr="003B4A7E" w14:paraId="6465E7F6" w14:textId="77777777" w:rsidTr="008B14F1">
        <w:tc>
          <w:tcPr>
            <w:tcW w:w="1077" w:type="pct"/>
          </w:tcPr>
          <w:p w14:paraId="2450DD0B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Program na rzecz jednolitego rynku </w:t>
            </w:r>
          </w:p>
        </w:tc>
        <w:tc>
          <w:tcPr>
            <w:tcW w:w="1831" w:type="pct"/>
          </w:tcPr>
          <w:p w14:paraId="4D3CC2FD" w14:textId="77777777" w:rsidR="00137797" w:rsidRPr="003B4A7E" w:rsidRDefault="00137797" w:rsidP="008B14F1">
            <w:pPr>
              <w:spacing w:before="60" w:after="60" w:line="240" w:lineRule="auto"/>
              <w:ind w:left="228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w całości przeznaczony dla mał</w:t>
            </w:r>
            <w:r>
              <w:rPr>
                <w:sz w:val="18"/>
                <w:szCs w:val="18"/>
              </w:rPr>
              <w:t>ych i średnich firm z terenu UE</w:t>
            </w:r>
          </w:p>
        </w:tc>
        <w:tc>
          <w:tcPr>
            <w:tcW w:w="1130" w:type="pct"/>
          </w:tcPr>
          <w:p w14:paraId="2F115581" w14:textId="77777777" w:rsidR="00137797" w:rsidRPr="003B4A7E" w:rsidRDefault="00137797" w:rsidP="008B14F1">
            <w:pPr>
              <w:spacing w:before="60" w:after="60" w:line="240" w:lineRule="auto"/>
              <w:ind w:left="233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3,7 mld euro</w:t>
            </w:r>
          </w:p>
        </w:tc>
        <w:tc>
          <w:tcPr>
            <w:tcW w:w="962" w:type="pct"/>
          </w:tcPr>
          <w:p w14:paraId="4709F76D" w14:textId="77777777" w:rsidR="00137797" w:rsidRPr="003B4A7E" w:rsidRDefault="00137797" w:rsidP="008B14F1">
            <w:pPr>
              <w:spacing w:before="60" w:after="60" w:line="240" w:lineRule="auto"/>
              <w:ind w:left="233"/>
              <w:rPr>
                <w:sz w:val="18"/>
                <w:szCs w:val="18"/>
              </w:rPr>
            </w:pPr>
          </w:p>
        </w:tc>
      </w:tr>
      <w:tr w:rsidR="00137797" w:rsidRPr="003B4A7E" w14:paraId="1AD19EEF" w14:textId="77777777" w:rsidTr="008B14F1">
        <w:tc>
          <w:tcPr>
            <w:tcW w:w="1077" w:type="pct"/>
          </w:tcPr>
          <w:p w14:paraId="3480C0A1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Anti-fraud programme</w:t>
            </w:r>
          </w:p>
        </w:tc>
        <w:tc>
          <w:tcPr>
            <w:tcW w:w="1831" w:type="pct"/>
          </w:tcPr>
          <w:p w14:paraId="4A6AA86B" w14:textId="77777777" w:rsidR="00137797" w:rsidRPr="003B4A7E" w:rsidRDefault="00137797" w:rsidP="008B14F1">
            <w:pPr>
              <w:spacing w:before="60" w:after="60" w:line="240" w:lineRule="auto"/>
              <w:ind w:left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interesów finansowych UE</w:t>
            </w:r>
          </w:p>
        </w:tc>
        <w:tc>
          <w:tcPr>
            <w:tcW w:w="1130" w:type="pct"/>
          </w:tcPr>
          <w:p w14:paraId="78CBF918" w14:textId="77777777" w:rsidR="00137797" w:rsidRPr="003B4A7E" w:rsidRDefault="00137797" w:rsidP="008B14F1">
            <w:pPr>
              <w:spacing w:before="60" w:after="60" w:line="240" w:lineRule="auto"/>
              <w:ind w:left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 mld euro</w:t>
            </w:r>
          </w:p>
        </w:tc>
        <w:tc>
          <w:tcPr>
            <w:tcW w:w="962" w:type="pct"/>
          </w:tcPr>
          <w:p w14:paraId="442000F5" w14:textId="77777777" w:rsidR="00137797" w:rsidRPr="003B4A7E" w:rsidRDefault="00137797" w:rsidP="008B14F1">
            <w:pPr>
              <w:spacing w:before="60" w:after="60" w:line="240" w:lineRule="auto"/>
              <w:ind w:left="233"/>
              <w:rPr>
                <w:sz w:val="18"/>
                <w:szCs w:val="18"/>
              </w:rPr>
            </w:pPr>
          </w:p>
        </w:tc>
      </w:tr>
      <w:tr w:rsidR="00137797" w:rsidRPr="003B4A7E" w14:paraId="7BED3946" w14:textId="77777777" w:rsidTr="008B14F1">
        <w:tc>
          <w:tcPr>
            <w:tcW w:w="1077" w:type="pct"/>
          </w:tcPr>
          <w:p w14:paraId="76CAE7D3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Fiscalis</w:t>
            </w:r>
          </w:p>
        </w:tc>
        <w:tc>
          <w:tcPr>
            <w:tcW w:w="1831" w:type="pct"/>
          </w:tcPr>
          <w:p w14:paraId="612C81E9" w14:textId="77777777" w:rsidR="00137797" w:rsidRPr="003B4A7E" w:rsidRDefault="00137797" w:rsidP="008B14F1">
            <w:pPr>
              <w:spacing w:before="60" w:after="60" w:line="240" w:lineRule="auto"/>
              <w:ind w:left="228"/>
              <w:rPr>
                <w:sz w:val="18"/>
                <w:szCs w:val="18"/>
              </w:rPr>
            </w:pPr>
            <w:r w:rsidRPr="000C276F">
              <w:rPr>
                <w:sz w:val="18"/>
                <w:szCs w:val="18"/>
              </w:rPr>
              <w:t>program działań na rzecz poprawy skuteczności systemów podatkowych</w:t>
            </w:r>
          </w:p>
        </w:tc>
        <w:tc>
          <w:tcPr>
            <w:tcW w:w="1130" w:type="pct"/>
          </w:tcPr>
          <w:p w14:paraId="0380B605" w14:textId="77777777" w:rsidR="00137797" w:rsidRPr="003B4A7E" w:rsidRDefault="00137797" w:rsidP="008B14F1">
            <w:pPr>
              <w:spacing w:before="60" w:after="60" w:line="240" w:lineRule="auto"/>
              <w:ind w:left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 mld euro</w:t>
            </w:r>
          </w:p>
        </w:tc>
        <w:tc>
          <w:tcPr>
            <w:tcW w:w="962" w:type="pct"/>
          </w:tcPr>
          <w:p w14:paraId="7BD38048" w14:textId="77777777" w:rsidR="00137797" w:rsidRPr="003B4A7E" w:rsidRDefault="00137797" w:rsidP="008B14F1">
            <w:pPr>
              <w:spacing w:before="60" w:after="60" w:line="240" w:lineRule="auto"/>
              <w:ind w:left="233"/>
              <w:rPr>
                <w:sz w:val="18"/>
                <w:szCs w:val="18"/>
              </w:rPr>
            </w:pPr>
          </w:p>
        </w:tc>
      </w:tr>
      <w:tr w:rsidR="00137797" w:rsidRPr="003B4A7E" w14:paraId="5006ED14" w14:textId="77777777" w:rsidTr="008B14F1">
        <w:tc>
          <w:tcPr>
            <w:tcW w:w="1077" w:type="pct"/>
          </w:tcPr>
          <w:p w14:paraId="56BB1AA7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Customs</w:t>
            </w:r>
          </w:p>
        </w:tc>
        <w:tc>
          <w:tcPr>
            <w:tcW w:w="1831" w:type="pct"/>
          </w:tcPr>
          <w:p w14:paraId="62FA6BFB" w14:textId="77777777" w:rsidR="00137797" w:rsidRPr="003B4A7E" w:rsidRDefault="00137797" w:rsidP="008B14F1">
            <w:pPr>
              <w:spacing w:before="60" w:after="60" w:line="240" w:lineRule="auto"/>
              <w:ind w:left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Wsparcie służb granicznych</w:t>
            </w:r>
          </w:p>
        </w:tc>
        <w:tc>
          <w:tcPr>
            <w:tcW w:w="1130" w:type="pct"/>
          </w:tcPr>
          <w:p w14:paraId="3C0D6AEE" w14:textId="77777777" w:rsidR="00137797" w:rsidRDefault="00137797" w:rsidP="008B14F1">
            <w:pPr>
              <w:spacing w:before="60" w:after="60" w:line="240" w:lineRule="auto"/>
              <w:ind w:left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 mld euro</w:t>
            </w:r>
          </w:p>
        </w:tc>
        <w:tc>
          <w:tcPr>
            <w:tcW w:w="962" w:type="pct"/>
          </w:tcPr>
          <w:p w14:paraId="69CBF1C4" w14:textId="77777777" w:rsidR="00137797" w:rsidRPr="003B4A7E" w:rsidRDefault="00137797" w:rsidP="008B14F1">
            <w:pPr>
              <w:spacing w:before="60" w:after="60" w:line="240" w:lineRule="auto"/>
              <w:ind w:left="233"/>
              <w:rPr>
                <w:sz w:val="18"/>
                <w:szCs w:val="18"/>
              </w:rPr>
            </w:pPr>
          </w:p>
        </w:tc>
      </w:tr>
      <w:tr w:rsidR="00137797" w:rsidRPr="003B4A7E" w14:paraId="2BA98B72" w14:textId="77777777" w:rsidTr="008B14F1">
        <w:tc>
          <w:tcPr>
            <w:tcW w:w="1077" w:type="pct"/>
          </w:tcPr>
          <w:p w14:paraId="34C2024A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Europejski program kosmiczny</w:t>
            </w:r>
          </w:p>
        </w:tc>
        <w:tc>
          <w:tcPr>
            <w:tcW w:w="1831" w:type="pct"/>
          </w:tcPr>
          <w:p w14:paraId="11DEAB8D" w14:textId="77777777" w:rsidR="00137797" w:rsidRPr="00201D0F" w:rsidRDefault="00137797" w:rsidP="008B14F1">
            <w:pPr>
              <w:spacing w:before="60" w:after="60" w:line="240" w:lineRule="auto"/>
              <w:ind w:left="22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</w:t>
            </w:r>
            <w:r w:rsidRPr="00201D0F">
              <w:rPr>
                <w:sz w:val="18"/>
                <w:szCs w:val="18"/>
              </w:rPr>
              <w:t>system</w:t>
            </w:r>
            <w:r>
              <w:rPr>
                <w:sz w:val="18"/>
                <w:szCs w:val="18"/>
              </w:rPr>
              <w:t xml:space="preserve">ów Copernicus, i EGNOS, </w:t>
            </w:r>
            <w:r w:rsidRPr="00201D0F">
              <w:rPr>
                <w:sz w:val="18"/>
                <w:szCs w:val="18"/>
              </w:rPr>
              <w:t>wprowadz</w:t>
            </w:r>
            <w:r>
              <w:rPr>
                <w:sz w:val="18"/>
                <w:szCs w:val="18"/>
              </w:rPr>
              <w:t>anie</w:t>
            </w:r>
            <w:r w:rsidRPr="00201D0F">
              <w:rPr>
                <w:sz w:val="18"/>
                <w:szCs w:val="18"/>
              </w:rPr>
              <w:t xml:space="preserve"> now</w:t>
            </w:r>
            <w:r>
              <w:rPr>
                <w:sz w:val="18"/>
                <w:szCs w:val="18"/>
              </w:rPr>
              <w:t>ych</w:t>
            </w:r>
            <w:r w:rsidRPr="00201D0F">
              <w:rPr>
                <w:sz w:val="18"/>
                <w:szCs w:val="18"/>
              </w:rPr>
              <w:t xml:space="preserve"> usług dla obywateli i przedsiębiorstw UE, wykorzystując</w:t>
            </w:r>
            <w:r>
              <w:rPr>
                <w:sz w:val="18"/>
                <w:szCs w:val="18"/>
              </w:rPr>
              <w:t>ych</w:t>
            </w:r>
            <w:r w:rsidRPr="00201D0F">
              <w:rPr>
                <w:sz w:val="18"/>
                <w:szCs w:val="18"/>
              </w:rPr>
              <w:t xml:space="preserve"> rezultaty działań związ</w:t>
            </w:r>
            <w:r>
              <w:rPr>
                <w:sz w:val="18"/>
                <w:szCs w:val="18"/>
              </w:rPr>
              <w:t>anych z przestrzenią kosmiczną</w:t>
            </w:r>
          </w:p>
        </w:tc>
        <w:tc>
          <w:tcPr>
            <w:tcW w:w="1130" w:type="pct"/>
          </w:tcPr>
          <w:p w14:paraId="2667EB75" w14:textId="77777777" w:rsidR="00137797" w:rsidRPr="003B4A7E" w:rsidRDefault="00137797" w:rsidP="008B14F1">
            <w:pPr>
              <w:spacing w:before="60" w:after="60" w:line="240" w:lineRule="auto"/>
              <w:ind w:left="233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13,4 mld euro</w:t>
            </w:r>
          </w:p>
        </w:tc>
        <w:tc>
          <w:tcPr>
            <w:tcW w:w="962" w:type="pct"/>
          </w:tcPr>
          <w:p w14:paraId="7BC0B9EC" w14:textId="77777777" w:rsidR="00137797" w:rsidRPr="003B4A7E" w:rsidRDefault="00137797" w:rsidP="008B14F1">
            <w:pPr>
              <w:spacing w:before="60" w:after="60" w:line="240" w:lineRule="auto"/>
              <w:ind w:left="233"/>
              <w:rPr>
                <w:sz w:val="18"/>
                <w:szCs w:val="18"/>
              </w:rPr>
            </w:pPr>
          </w:p>
        </w:tc>
      </w:tr>
      <w:tr w:rsidR="00137797" w:rsidRPr="008766B2" w14:paraId="0D059E1E" w14:textId="77777777" w:rsidTr="008B14F1">
        <w:tc>
          <w:tcPr>
            <w:tcW w:w="5000" w:type="pct"/>
            <w:gridSpan w:val="4"/>
            <w:shd w:val="clear" w:color="auto" w:fill="B8CCE4"/>
          </w:tcPr>
          <w:p w14:paraId="22575FDE" w14:textId="77777777" w:rsidR="00137797" w:rsidRPr="008766B2" w:rsidRDefault="00137797" w:rsidP="008B14F1">
            <w:pPr>
              <w:spacing w:before="60" w:after="60" w:line="240" w:lineRule="auto"/>
              <w:jc w:val="center"/>
              <w:rPr>
                <w:b/>
                <w:bCs/>
                <w:lang w:val="en-US"/>
              </w:rPr>
            </w:pPr>
            <w:r w:rsidRPr="008766B2">
              <w:rPr>
                <w:b/>
                <w:bCs/>
                <w:lang w:val="en-US"/>
              </w:rPr>
              <w:t>II. Cohesion, Resilience and Values</w:t>
            </w:r>
          </w:p>
        </w:tc>
      </w:tr>
      <w:tr w:rsidR="00137797" w:rsidRPr="003B4A7E" w14:paraId="35AD71C1" w14:textId="77777777" w:rsidTr="008B14F1">
        <w:tc>
          <w:tcPr>
            <w:tcW w:w="1077" w:type="pct"/>
          </w:tcPr>
          <w:p w14:paraId="2B8FAFE7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Polityka Spójności (PS) w tym:</w:t>
            </w:r>
          </w:p>
        </w:tc>
        <w:tc>
          <w:tcPr>
            <w:tcW w:w="1831" w:type="pct"/>
          </w:tcPr>
          <w:p w14:paraId="425C03F0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</w:tc>
        <w:tc>
          <w:tcPr>
            <w:tcW w:w="1130" w:type="pct"/>
          </w:tcPr>
          <w:p w14:paraId="5F0FF1EA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4E4EFF">
              <w:rPr>
                <w:sz w:val="18"/>
                <w:szCs w:val="18"/>
              </w:rPr>
              <w:t>330,</w:t>
            </w:r>
            <w:r>
              <w:rPr>
                <w:sz w:val="18"/>
                <w:szCs w:val="18"/>
              </w:rPr>
              <w:t>2</w:t>
            </w:r>
            <w:r w:rsidRPr="004E4EFF">
              <w:rPr>
                <w:sz w:val="18"/>
                <w:szCs w:val="18"/>
              </w:rPr>
              <w:t xml:space="preserve"> mld euro</w:t>
            </w:r>
          </w:p>
          <w:p w14:paraId="01C09526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alokacja dla Polski: 66,8 mld euro</w:t>
            </w:r>
          </w:p>
          <w:p w14:paraId="54267EF0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obowiązkowe transfery z koperty Polski: 2,7 mld euro (w tym na CEF: 2,3 mld euro)</w:t>
            </w:r>
          </w:p>
          <w:p w14:paraId="63E09681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alokacja dla Polski po transferach: 64,1 mld euro</w:t>
            </w:r>
          </w:p>
        </w:tc>
        <w:tc>
          <w:tcPr>
            <w:tcW w:w="962" w:type="pct"/>
          </w:tcPr>
          <w:p w14:paraId="39FAB120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  <w:p w14:paraId="6169DF6E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Polska: 20,2%</w:t>
            </w:r>
            <w:r w:rsidRPr="00F604E3">
              <w:rPr>
                <w:b/>
                <w:sz w:val="18"/>
                <w:szCs w:val="18"/>
              </w:rPr>
              <w:t xml:space="preserve"> </w:t>
            </w:r>
            <w:r w:rsidRPr="004E4EFF">
              <w:rPr>
                <w:sz w:val="18"/>
                <w:szCs w:val="18"/>
              </w:rPr>
              <w:t>środków na PS</w:t>
            </w:r>
          </w:p>
        </w:tc>
      </w:tr>
      <w:tr w:rsidR="00137797" w:rsidRPr="003B4A7E" w14:paraId="1E73A8C5" w14:textId="77777777" w:rsidTr="008B14F1">
        <w:tc>
          <w:tcPr>
            <w:tcW w:w="1077" w:type="pct"/>
          </w:tcPr>
          <w:p w14:paraId="59F1B714" w14:textId="77777777" w:rsidR="00137797" w:rsidRPr="003B4A7E" w:rsidRDefault="00137797" w:rsidP="00137797">
            <w:pPr>
              <w:numPr>
                <w:ilvl w:val="0"/>
                <w:numId w:val="34"/>
              </w:numPr>
              <w:spacing w:before="60" w:after="60" w:line="240" w:lineRule="auto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lastRenderedPageBreak/>
              <w:t>Europejski Fundusz Rozwoju Regionalnego (EFRR)</w:t>
            </w:r>
          </w:p>
        </w:tc>
        <w:tc>
          <w:tcPr>
            <w:tcW w:w="1831" w:type="pct"/>
          </w:tcPr>
          <w:p w14:paraId="29095C6C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3B4A7E">
              <w:rPr>
                <w:sz w:val="18"/>
                <w:szCs w:val="18"/>
              </w:rPr>
              <w:t>zmacnianie spójności gospodarczej i społecznej UE poprzez korygowanie dysproporcji</w:t>
            </w:r>
          </w:p>
        </w:tc>
        <w:tc>
          <w:tcPr>
            <w:tcW w:w="1130" w:type="pct"/>
          </w:tcPr>
          <w:p w14:paraId="672B7320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200,4 mld euro </w:t>
            </w:r>
          </w:p>
          <w:p w14:paraId="08EC6EF1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alokacja dla Polski: 42,5 mld euro</w:t>
            </w:r>
          </w:p>
        </w:tc>
        <w:tc>
          <w:tcPr>
            <w:tcW w:w="962" w:type="pct"/>
          </w:tcPr>
          <w:p w14:paraId="7168BEA2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  <w:p w14:paraId="5A6637B3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Polska: 21,2% środków na EFRR</w:t>
            </w:r>
          </w:p>
        </w:tc>
      </w:tr>
      <w:tr w:rsidR="00137797" w:rsidRPr="003B4A7E" w14:paraId="0BF68FB3" w14:textId="77777777" w:rsidTr="008B14F1">
        <w:tc>
          <w:tcPr>
            <w:tcW w:w="1077" w:type="pct"/>
          </w:tcPr>
          <w:p w14:paraId="561E3FC4" w14:textId="77777777" w:rsidR="00137797" w:rsidRPr="003B4A7E" w:rsidRDefault="00137797" w:rsidP="00137797">
            <w:pPr>
              <w:numPr>
                <w:ilvl w:val="0"/>
                <w:numId w:val="34"/>
              </w:numPr>
              <w:spacing w:before="60" w:after="60" w:line="240" w:lineRule="auto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Fundusz Spójności</w:t>
            </w:r>
            <w:r>
              <w:rPr>
                <w:sz w:val="18"/>
                <w:szCs w:val="18"/>
              </w:rPr>
              <w:t xml:space="preserve"> (FS)</w:t>
            </w:r>
          </w:p>
        </w:tc>
        <w:tc>
          <w:tcPr>
            <w:tcW w:w="1831" w:type="pct"/>
          </w:tcPr>
          <w:p w14:paraId="618136DD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3B4A7E">
              <w:rPr>
                <w:sz w:val="18"/>
                <w:szCs w:val="18"/>
              </w:rPr>
              <w:t>la państw członkowskich, których dochód narodowy brutto (DNB) na mieszkańca wynosi mniej niż 90% średniego DNB w UE.</w:t>
            </w:r>
          </w:p>
        </w:tc>
        <w:tc>
          <w:tcPr>
            <w:tcW w:w="1130" w:type="pct"/>
          </w:tcPr>
          <w:p w14:paraId="3522B55F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42,6 mld euro </w:t>
            </w:r>
          </w:p>
          <w:p w14:paraId="0F94C55F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alokacja dla Polski: 7,6 mld euro</w:t>
            </w:r>
            <w:r>
              <w:rPr>
                <w:sz w:val="18"/>
                <w:szCs w:val="18"/>
              </w:rPr>
              <w:t xml:space="preserve"> (po obowiązkowym  transferze na CEF), przed transferem 9,9 mld euro</w:t>
            </w:r>
          </w:p>
        </w:tc>
        <w:tc>
          <w:tcPr>
            <w:tcW w:w="962" w:type="pct"/>
          </w:tcPr>
          <w:p w14:paraId="59648867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  <w:p w14:paraId="00D1CEC8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Polska: 17,8% środków na FS</w:t>
            </w:r>
          </w:p>
        </w:tc>
      </w:tr>
      <w:tr w:rsidR="00137797" w:rsidRPr="003B4A7E" w14:paraId="2AAA31CC" w14:textId="77777777" w:rsidTr="008B14F1">
        <w:tc>
          <w:tcPr>
            <w:tcW w:w="1077" w:type="pct"/>
          </w:tcPr>
          <w:p w14:paraId="0CF36C9F" w14:textId="77777777" w:rsidR="00137797" w:rsidRPr="003B4A7E" w:rsidRDefault="00137797" w:rsidP="00137797">
            <w:pPr>
              <w:numPr>
                <w:ilvl w:val="0"/>
                <w:numId w:val="34"/>
              </w:numPr>
              <w:spacing w:before="60" w:after="60" w:line="240" w:lineRule="auto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Europejski Fundusz Społeczny (ESF+)</w:t>
            </w:r>
          </w:p>
        </w:tc>
        <w:tc>
          <w:tcPr>
            <w:tcW w:w="1831" w:type="pct"/>
          </w:tcPr>
          <w:p w14:paraId="719ABD47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inwestycje w kapitał ludzki, ze szczególnym uwzględnieniem zwiększenia możliwości zatrudnienia i kształcenia w Unii Europejskiej.</w:t>
            </w:r>
          </w:p>
        </w:tc>
        <w:tc>
          <w:tcPr>
            <w:tcW w:w="1130" w:type="pct"/>
          </w:tcPr>
          <w:p w14:paraId="585C471D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88,0 mld euro </w:t>
            </w:r>
          </w:p>
          <w:p w14:paraId="6720FE92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alokacja </w:t>
            </w:r>
            <w:r w:rsidRPr="003B4A7E">
              <w:rPr>
                <w:sz w:val="18"/>
                <w:szCs w:val="18"/>
              </w:rPr>
              <w:t>dla Polski: 13,4 mld euro.</w:t>
            </w:r>
          </w:p>
        </w:tc>
        <w:tc>
          <w:tcPr>
            <w:tcW w:w="962" w:type="pct"/>
          </w:tcPr>
          <w:p w14:paraId="77D31B79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  <w:p w14:paraId="78D1FB7F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Polska: 15,2% środków na EFS+</w:t>
            </w:r>
          </w:p>
        </w:tc>
      </w:tr>
      <w:tr w:rsidR="00137797" w:rsidRPr="003B4A7E" w14:paraId="44075463" w14:textId="77777777" w:rsidTr="008B14F1">
        <w:tc>
          <w:tcPr>
            <w:tcW w:w="1077" w:type="pct"/>
          </w:tcPr>
          <w:p w14:paraId="5E451FEC" w14:textId="77777777" w:rsidR="00137797" w:rsidRPr="003B4A7E" w:rsidRDefault="00137797" w:rsidP="00137797">
            <w:pPr>
              <w:numPr>
                <w:ilvl w:val="0"/>
                <w:numId w:val="34"/>
              </w:num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EWT</w:t>
            </w:r>
          </w:p>
        </w:tc>
        <w:tc>
          <w:tcPr>
            <w:tcW w:w="1831" w:type="pct"/>
          </w:tcPr>
          <w:p w14:paraId="1CE67F26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wsparcie współpracy</w:t>
            </w:r>
            <w:r w:rsidRPr="00A55CE1">
              <w:rPr>
                <w:sz w:val="18"/>
                <w:szCs w:val="18"/>
              </w:rPr>
              <w:t xml:space="preserve"> transgraniczn</w:t>
            </w:r>
            <w:r>
              <w:rPr>
                <w:sz w:val="18"/>
                <w:szCs w:val="18"/>
              </w:rPr>
              <w:t>ej,</w:t>
            </w:r>
            <w:r w:rsidRPr="00A55CE1">
              <w:rPr>
                <w:sz w:val="18"/>
                <w:szCs w:val="18"/>
              </w:rPr>
              <w:t xml:space="preserve"> transnarodow</w:t>
            </w:r>
            <w:r>
              <w:rPr>
                <w:sz w:val="18"/>
                <w:szCs w:val="18"/>
              </w:rPr>
              <w:t>ej,</w:t>
            </w:r>
            <w:r w:rsidRPr="00A55CE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międzyregionalnej</w:t>
            </w:r>
          </w:p>
        </w:tc>
        <w:tc>
          <w:tcPr>
            <w:tcW w:w="1130" w:type="pct"/>
          </w:tcPr>
          <w:p w14:paraId="51A8832F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7,95 mld euro </w:t>
            </w:r>
          </w:p>
          <w:p w14:paraId="48BD8C9F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alokacja </w:t>
            </w:r>
            <w:r w:rsidRPr="003B4A7E">
              <w:rPr>
                <w:sz w:val="18"/>
                <w:szCs w:val="18"/>
              </w:rPr>
              <w:t>dla Polski:</w:t>
            </w:r>
            <w:r>
              <w:rPr>
                <w:sz w:val="18"/>
                <w:szCs w:val="18"/>
              </w:rPr>
              <w:t xml:space="preserve"> 0,6 mld euro</w:t>
            </w:r>
          </w:p>
        </w:tc>
        <w:tc>
          <w:tcPr>
            <w:tcW w:w="962" w:type="pct"/>
          </w:tcPr>
          <w:p w14:paraId="2AC894D7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  <w:p w14:paraId="6C02D737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Polska: 7,0% środków EWT</w:t>
            </w:r>
          </w:p>
        </w:tc>
      </w:tr>
      <w:tr w:rsidR="00137797" w:rsidRPr="003B4A7E" w14:paraId="37AA26E0" w14:textId="77777777" w:rsidTr="008B14F1">
        <w:tc>
          <w:tcPr>
            <w:tcW w:w="1077" w:type="pct"/>
          </w:tcPr>
          <w:p w14:paraId="683D3A19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Program Zdrowie</w:t>
            </w:r>
          </w:p>
        </w:tc>
        <w:tc>
          <w:tcPr>
            <w:tcW w:w="1831" w:type="pct"/>
          </w:tcPr>
          <w:p w14:paraId="0FEAACA6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F90E61">
              <w:rPr>
                <w:sz w:val="18"/>
                <w:szCs w:val="18"/>
              </w:rPr>
              <w:t>realizacj</w:t>
            </w:r>
            <w:r>
              <w:rPr>
                <w:sz w:val="18"/>
                <w:szCs w:val="18"/>
              </w:rPr>
              <w:t>a</w:t>
            </w:r>
            <w:r w:rsidRPr="00F90E61">
              <w:rPr>
                <w:sz w:val="18"/>
                <w:szCs w:val="18"/>
              </w:rPr>
              <w:t xml:space="preserve"> strategii UE w dziedzinie zdrowia, działania promocyjne i </w:t>
            </w:r>
            <w:r>
              <w:rPr>
                <w:sz w:val="18"/>
                <w:szCs w:val="18"/>
              </w:rPr>
              <w:t>profilaktyczne</w:t>
            </w:r>
          </w:p>
        </w:tc>
        <w:tc>
          <w:tcPr>
            <w:tcW w:w="1130" w:type="pct"/>
          </w:tcPr>
          <w:p w14:paraId="38EE0E6F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1,7 mld euro</w:t>
            </w:r>
          </w:p>
        </w:tc>
        <w:tc>
          <w:tcPr>
            <w:tcW w:w="962" w:type="pct"/>
          </w:tcPr>
          <w:p w14:paraId="1FAC7FA9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</w:tc>
      </w:tr>
      <w:tr w:rsidR="00137797" w:rsidRPr="003B4A7E" w14:paraId="213C0833" w14:textId="77777777" w:rsidTr="008B14F1">
        <w:tc>
          <w:tcPr>
            <w:tcW w:w="1077" w:type="pct"/>
          </w:tcPr>
          <w:p w14:paraId="15A226DC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Erasmus+</w:t>
            </w:r>
          </w:p>
        </w:tc>
        <w:tc>
          <w:tcPr>
            <w:tcW w:w="1831" w:type="pct"/>
          </w:tcPr>
          <w:p w14:paraId="08B98457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F90E61">
              <w:rPr>
                <w:sz w:val="18"/>
                <w:szCs w:val="18"/>
              </w:rPr>
              <w:t>program w dziedzinie edukacji, szkoleń, młodzieży i sportu</w:t>
            </w:r>
          </w:p>
        </w:tc>
        <w:tc>
          <w:tcPr>
            <w:tcW w:w="1130" w:type="pct"/>
          </w:tcPr>
          <w:p w14:paraId="5016BCD8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21,2 mld euro</w:t>
            </w:r>
          </w:p>
        </w:tc>
        <w:tc>
          <w:tcPr>
            <w:tcW w:w="962" w:type="pct"/>
          </w:tcPr>
          <w:p w14:paraId="13579000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</w:tc>
      </w:tr>
      <w:tr w:rsidR="00137797" w:rsidRPr="003B4A7E" w14:paraId="5C8F3C0E" w14:textId="77777777" w:rsidTr="008B14F1">
        <w:tc>
          <w:tcPr>
            <w:tcW w:w="1077" w:type="pct"/>
          </w:tcPr>
          <w:p w14:paraId="171348D9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Europejski Korpus Solidarności</w:t>
            </w:r>
          </w:p>
        </w:tc>
        <w:tc>
          <w:tcPr>
            <w:tcW w:w="1831" w:type="pct"/>
          </w:tcPr>
          <w:p w14:paraId="59DE68C6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3B4A7E">
              <w:rPr>
                <w:sz w:val="18"/>
                <w:szCs w:val="18"/>
              </w:rPr>
              <w:t>kierowany do młodych w wieku 18-30 lat</w:t>
            </w:r>
          </w:p>
        </w:tc>
        <w:tc>
          <w:tcPr>
            <w:tcW w:w="1130" w:type="pct"/>
          </w:tcPr>
          <w:p w14:paraId="446659C2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0,9 mld euro</w:t>
            </w:r>
          </w:p>
        </w:tc>
        <w:tc>
          <w:tcPr>
            <w:tcW w:w="962" w:type="pct"/>
          </w:tcPr>
          <w:p w14:paraId="258E3B8C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</w:tc>
      </w:tr>
      <w:tr w:rsidR="00137797" w:rsidRPr="003B4A7E" w14:paraId="4FE6D74D" w14:textId="77777777" w:rsidTr="008B14F1">
        <w:tc>
          <w:tcPr>
            <w:tcW w:w="1077" w:type="pct"/>
          </w:tcPr>
          <w:p w14:paraId="7DFFC8E3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Kreatywna Europa</w:t>
            </w:r>
          </w:p>
        </w:tc>
        <w:tc>
          <w:tcPr>
            <w:tcW w:w="1831" w:type="pct"/>
          </w:tcPr>
          <w:p w14:paraId="58CAAA91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Wsparcie sektora kultury, audiowizualnego i kreatywnych</w:t>
            </w:r>
          </w:p>
        </w:tc>
        <w:tc>
          <w:tcPr>
            <w:tcW w:w="1130" w:type="pct"/>
          </w:tcPr>
          <w:p w14:paraId="71FE717C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 mld euro</w:t>
            </w:r>
          </w:p>
        </w:tc>
        <w:tc>
          <w:tcPr>
            <w:tcW w:w="962" w:type="pct"/>
          </w:tcPr>
          <w:p w14:paraId="4954A911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</w:tc>
      </w:tr>
      <w:tr w:rsidR="00137797" w:rsidRPr="008766B2" w14:paraId="2703BD16" w14:textId="77777777" w:rsidTr="008B14F1">
        <w:tc>
          <w:tcPr>
            <w:tcW w:w="5000" w:type="pct"/>
            <w:gridSpan w:val="4"/>
            <w:shd w:val="clear" w:color="auto" w:fill="B8CCE4"/>
          </w:tcPr>
          <w:p w14:paraId="65DE94EA" w14:textId="77777777" w:rsidR="00137797" w:rsidRPr="008766B2" w:rsidRDefault="00137797" w:rsidP="008B14F1">
            <w:pPr>
              <w:spacing w:before="60" w:after="60" w:line="240" w:lineRule="auto"/>
              <w:jc w:val="center"/>
              <w:rPr>
                <w:b/>
                <w:bCs/>
                <w:lang w:val="en-US"/>
              </w:rPr>
            </w:pPr>
            <w:r w:rsidRPr="008766B2">
              <w:rPr>
                <w:b/>
                <w:bCs/>
                <w:lang w:val="en-US"/>
              </w:rPr>
              <w:t>III. Natural Resources and Environment</w:t>
            </w:r>
          </w:p>
        </w:tc>
      </w:tr>
      <w:tr w:rsidR="00137797" w:rsidRPr="003B4A7E" w14:paraId="1354DF10" w14:textId="77777777" w:rsidTr="008B14F1">
        <w:tc>
          <w:tcPr>
            <w:tcW w:w="1077" w:type="pct"/>
          </w:tcPr>
          <w:p w14:paraId="5579B3EE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Wspólna polityka rolna (WPR)</w:t>
            </w:r>
          </w:p>
        </w:tc>
        <w:tc>
          <w:tcPr>
            <w:tcW w:w="1831" w:type="pct"/>
          </w:tcPr>
          <w:p w14:paraId="38F8A17B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F90E61">
              <w:rPr>
                <w:sz w:val="18"/>
                <w:szCs w:val="18"/>
              </w:rPr>
              <w:t>wspieranie rolników i poprawa wydajności rolnictwa</w:t>
            </w:r>
          </w:p>
        </w:tc>
        <w:tc>
          <w:tcPr>
            <w:tcW w:w="1130" w:type="pct"/>
          </w:tcPr>
          <w:p w14:paraId="3557B45D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343,9 mld euro, z czego 258,6 mld euro na Europejski Fundusz Rolny (dopłaty bezpośrednie i interwencje rynkowe) oraz 77,8 mld euro na Europejski Fundusz   Rolny na rzecz Rozwoju Obszarów Wiejskich (II filar WPR wliczając środki w ramach EIO - 7,5 mld euro)</w:t>
            </w:r>
          </w:p>
          <w:p w14:paraId="00AF34F9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alokacja </w:t>
            </w:r>
            <w:r w:rsidRPr="003B4A7E">
              <w:rPr>
                <w:sz w:val="18"/>
                <w:szCs w:val="18"/>
              </w:rPr>
              <w:t>dla Polski: 28,</w:t>
            </w:r>
            <w:r>
              <w:rPr>
                <w:sz w:val="18"/>
                <w:szCs w:val="18"/>
              </w:rPr>
              <w:t>7</w:t>
            </w:r>
            <w:r w:rsidRPr="003B4A7E">
              <w:rPr>
                <w:sz w:val="18"/>
                <w:szCs w:val="18"/>
              </w:rPr>
              <w:t xml:space="preserve"> mld euro</w:t>
            </w:r>
            <w:r>
              <w:rPr>
                <w:sz w:val="18"/>
                <w:szCs w:val="18"/>
              </w:rPr>
              <w:t xml:space="preserve"> (27,8 mld euro z WRF + 0,9 mld euro z EIO)</w:t>
            </w:r>
          </w:p>
        </w:tc>
        <w:tc>
          <w:tcPr>
            <w:tcW w:w="962" w:type="pct"/>
          </w:tcPr>
          <w:p w14:paraId="5C8FD81F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  <w:p w14:paraId="156308CA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Polska: 8,3% środków na WPR</w:t>
            </w:r>
          </w:p>
        </w:tc>
      </w:tr>
      <w:tr w:rsidR="00137797" w:rsidRPr="003B4A7E" w14:paraId="00036AED" w14:textId="77777777" w:rsidTr="008B14F1">
        <w:tc>
          <w:tcPr>
            <w:tcW w:w="1077" w:type="pct"/>
          </w:tcPr>
          <w:p w14:paraId="39FE2CB3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Life</w:t>
            </w:r>
          </w:p>
        </w:tc>
        <w:tc>
          <w:tcPr>
            <w:tcW w:w="1831" w:type="pct"/>
          </w:tcPr>
          <w:p w14:paraId="6705983B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ochrona środowiska i przyrody</w:t>
            </w:r>
          </w:p>
        </w:tc>
        <w:tc>
          <w:tcPr>
            <w:tcW w:w="1130" w:type="pct"/>
          </w:tcPr>
          <w:p w14:paraId="5CADFB07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4,8 mld euro.</w:t>
            </w:r>
          </w:p>
        </w:tc>
        <w:tc>
          <w:tcPr>
            <w:tcW w:w="962" w:type="pct"/>
          </w:tcPr>
          <w:p w14:paraId="19843574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</w:tc>
      </w:tr>
      <w:tr w:rsidR="00137797" w:rsidRPr="003B4A7E" w14:paraId="6F71E1D0" w14:textId="77777777" w:rsidTr="008B14F1">
        <w:tc>
          <w:tcPr>
            <w:tcW w:w="1077" w:type="pct"/>
          </w:tcPr>
          <w:p w14:paraId="1E29BA06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Europejski Fundusz Rybacki i Morski</w:t>
            </w:r>
          </w:p>
        </w:tc>
        <w:tc>
          <w:tcPr>
            <w:tcW w:w="1831" w:type="pct"/>
          </w:tcPr>
          <w:p w14:paraId="41D24D4D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CD0F8F">
              <w:rPr>
                <w:sz w:val="18"/>
                <w:szCs w:val="18"/>
              </w:rPr>
              <w:t>wspieranie rybaków w przechodzeniu na rybołówstwo zrównoważone</w:t>
            </w:r>
            <w:r>
              <w:rPr>
                <w:sz w:val="18"/>
                <w:szCs w:val="18"/>
              </w:rPr>
              <w:t xml:space="preserve"> oraz </w:t>
            </w:r>
            <w:r w:rsidRPr="00CD0F8F">
              <w:rPr>
                <w:sz w:val="18"/>
                <w:szCs w:val="18"/>
              </w:rPr>
              <w:t>wspieranie społeczności nadmorskich w r</w:t>
            </w:r>
            <w:r>
              <w:rPr>
                <w:sz w:val="18"/>
                <w:szCs w:val="18"/>
              </w:rPr>
              <w:t>óżnicowaniu lokalnej gospodarki</w:t>
            </w:r>
          </w:p>
        </w:tc>
        <w:tc>
          <w:tcPr>
            <w:tcW w:w="1130" w:type="pct"/>
          </w:tcPr>
          <w:p w14:paraId="3BEC5176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 mld euro</w:t>
            </w:r>
          </w:p>
        </w:tc>
        <w:tc>
          <w:tcPr>
            <w:tcW w:w="962" w:type="pct"/>
          </w:tcPr>
          <w:p w14:paraId="73FDECC9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</w:tc>
      </w:tr>
      <w:tr w:rsidR="00137797" w:rsidRPr="003B4A7E" w14:paraId="0518F491" w14:textId="77777777" w:rsidTr="008B14F1">
        <w:tc>
          <w:tcPr>
            <w:tcW w:w="1077" w:type="pct"/>
          </w:tcPr>
          <w:p w14:paraId="7EF0E012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Fundusz na rzecz Sprawiedliwej Transformacji (</w:t>
            </w:r>
            <w:r>
              <w:rPr>
                <w:sz w:val="18"/>
                <w:szCs w:val="18"/>
              </w:rPr>
              <w:t>FST</w:t>
            </w:r>
            <w:r w:rsidRPr="003B4A7E">
              <w:rPr>
                <w:sz w:val="18"/>
                <w:szCs w:val="18"/>
              </w:rPr>
              <w:t>)</w:t>
            </w:r>
          </w:p>
        </w:tc>
        <w:tc>
          <w:tcPr>
            <w:tcW w:w="1831" w:type="pct"/>
          </w:tcPr>
          <w:p w14:paraId="79D107F3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F90E61">
              <w:rPr>
                <w:sz w:val="18"/>
                <w:szCs w:val="18"/>
              </w:rPr>
              <w:t>ywersyfikacj</w:t>
            </w:r>
            <w:r>
              <w:rPr>
                <w:sz w:val="18"/>
                <w:szCs w:val="18"/>
              </w:rPr>
              <w:t>a</w:t>
            </w:r>
            <w:r w:rsidRPr="00F90E61">
              <w:rPr>
                <w:sz w:val="18"/>
                <w:szCs w:val="18"/>
              </w:rPr>
              <w:t xml:space="preserve"> gospodarcz</w:t>
            </w:r>
            <w:r>
              <w:rPr>
                <w:sz w:val="18"/>
                <w:szCs w:val="18"/>
              </w:rPr>
              <w:t>a</w:t>
            </w:r>
            <w:r w:rsidRPr="00F90E61">
              <w:rPr>
                <w:sz w:val="18"/>
                <w:szCs w:val="18"/>
              </w:rPr>
              <w:t xml:space="preserve"> i restrukturyzacj</w:t>
            </w:r>
            <w:r>
              <w:rPr>
                <w:sz w:val="18"/>
                <w:szCs w:val="18"/>
              </w:rPr>
              <w:t>a</w:t>
            </w:r>
            <w:r w:rsidRPr="00F90E61">
              <w:rPr>
                <w:sz w:val="18"/>
                <w:szCs w:val="18"/>
              </w:rPr>
              <w:t xml:space="preserve"> regionów</w:t>
            </w:r>
          </w:p>
        </w:tc>
        <w:tc>
          <w:tcPr>
            <w:tcW w:w="1130" w:type="pct"/>
          </w:tcPr>
          <w:p w14:paraId="632AE764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 mld euro (</w:t>
            </w:r>
            <w:r w:rsidRPr="003B4A7E">
              <w:rPr>
                <w:sz w:val="18"/>
                <w:szCs w:val="18"/>
              </w:rPr>
              <w:t xml:space="preserve">7,5 mld euro </w:t>
            </w:r>
            <w:r>
              <w:rPr>
                <w:sz w:val="18"/>
                <w:szCs w:val="18"/>
              </w:rPr>
              <w:t>z</w:t>
            </w:r>
            <w:r w:rsidRPr="003B4A7E">
              <w:rPr>
                <w:sz w:val="18"/>
                <w:szCs w:val="18"/>
              </w:rPr>
              <w:t xml:space="preserve"> WRF </w:t>
            </w:r>
            <w:r>
              <w:rPr>
                <w:sz w:val="18"/>
                <w:szCs w:val="18"/>
              </w:rPr>
              <w:t>+</w:t>
            </w:r>
            <w:r w:rsidRPr="003B4A7E">
              <w:rPr>
                <w:sz w:val="18"/>
                <w:szCs w:val="18"/>
              </w:rPr>
              <w:t xml:space="preserve"> 10 mld euro </w:t>
            </w:r>
            <w:r>
              <w:rPr>
                <w:sz w:val="18"/>
                <w:szCs w:val="18"/>
              </w:rPr>
              <w:t>z</w:t>
            </w:r>
            <w:r w:rsidRPr="003B4A7E">
              <w:rPr>
                <w:sz w:val="18"/>
                <w:szCs w:val="18"/>
              </w:rPr>
              <w:t xml:space="preserve"> EIO</w:t>
            </w:r>
            <w:r>
              <w:rPr>
                <w:sz w:val="18"/>
                <w:szCs w:val="18"/>
              </w:rPr>
              <w:t>)</w:t>
            </w:r>
          </w:p>
          <w:p w14:paraId="7FFBD9BD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alokacja dla Polski: 3,5 mld euro (1,5 mld euro z WRF + 2 mld euro z EIO)</w:t>
            </w:r>
          </w:p>
        </w:tc>
        <w:tc>
          <w:tcPr>
            <w:tcW w:w="962" w:type="pct"/>
          </w:tcPr>
          <w:p w14:paraId="7BDD35DF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  <w:p w14:paraId="7068A2EC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  <w:p w14:paraId="793F1BC3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4E4EFF">
              <w:rPr>
                <w:sz w:val="18"/>
                <w:szCs w:val="18"/>
              </w:rPr>
              <w:t>Polsk</w:t>
            </w:r>
            <w:r>
              <w:rPr>
                <w:sz w:val="18"/>
                <w:szCs w:val="18"/>
              </w:rPr>
              <w:t>a:</w:t>
            </w:r>
            <w:r w:rsidRPr="004E4E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20,0% środków FST</w:t>
            </w:r>
          </w:p>
        </w:tc>
      </w:tr>
      <w:tr w:rsidR="00137797" w:rsidRPr="008766B2" w14:paraId="092050D0" w14:textId="77777777" w:rsidTr="008B14F1">
        <w:tc>
          <w:tcPr>
            <w:tcW w:w="5000" w:type="pct"/>
            <w:gridSpan w:val="4"/>
            <w:shd w:val="clear" w:color="auto" w:fill="B8CCE4"/>
          </w:tcPr>
          <w:p w14:paraId="296B015F" w14:textId="77777777" w:rsidR="00137797" w:rsidRPr="008766B2" w:rsidRDefault="00137797" w:rsidP="008B14F1">
            <w:pPr>
              <w:spacing w:before="60" w:after="60" w:line="240" w:lineRule="auto"/>
              <w:jc w:val="center"/>
              <w:rPr>
                <w:b/>
                <w:bCs/>
                <w:lang w:val="en-US"/>
              </w:rPr>
            </w:pPr>
            <w:r w:rsidRPr="008766B2">
              <w:rPr>
                <w:b/>
                <w:bCs/>
                <w:lang w:val="en-US"/>
              </w:rPr>
              <w:t>IV. Migration and Border Management</w:t>
            </w:r>
          </w:p>
        </w:tc>
      </w:tr>
      <w:tr w:rsidR="00137797" w:rsidRPr="003B4A7E" w14:paraId="06225B76" w14:textId="77777777" w:rsidTr="008B14F1">
        <w:tc>
          <w:tcPr>
            <w:tcW w:w="1077" w:type="pct"/>
          </w:tcPr>
          <w:p w14:paraId="37C8F0FD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Fundusz migracji, azylu i integracji (FAMI)</w:t>
            </w:r>
          </w:p>
        </w:tc>
        <w:tc>
          <w:tcPr>
            <w:tcW w:w="1831" w:type="pct"/>
          </w:tcPr>
          <w:p w14:paraId="32D1E0F1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F90E61">
              <w:rPr>
                <w:sz w:val="18"/>
                <w:szCs w:val="18"/>
              </w:rPr>
              <w:t>rozwoju wspólnej unijnej p</w:t>
            </w:r>
            <w:r>
              <w:rPr>
                <w:sz w:val="18"/>
                <w:szCs w:val="18"/>
              </w:rPr>
              <w:t>olityki azylowej i imigracyjnej</w:t>
            </w:r>
          </w:p>
        </w:tc>
        <w:tc>
          <w:tcPr>
            <w:tcW w:w="1130" w:type="pct"/>
          </w:tcPr>
          <w:p w14:paraId="38AF5EE2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8,7 mld euro</w:t>
            </w:r>
          </w:p>
        </w:tc>
        <w:tc>
          <w:tcPr>
            <w:tcW w:w="962" w:type="pct"/>
          </w:tcPr>
          <w:p w14:paraId="3AD7DC11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</w:tc>
      </w:tr>
      <w:tr w:rsidR="00137797" w:rsidRPr="003B4A7E" w14:paraId="12B02AD0" w14:textId="77777777" w:rsidTr="008B14F1">
        <w:tc>
          <w:tcPr>
            <w:tcW w:w="1077" w:type="pct"/>
          </w:tcPr>
          <w:p w14:paraId="6F1B64D4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 xml:space="preserve">Funduszu Zintegrowanego </w:t>
            </w:r>
            <w:r w:rsidRPr="003B4A7E">
              <w:rPr>
                <w:sz w:val="18"/>
                <w:szCs w:val="18"/>
              </w:rPr>
              <w:lastRenderedPageBreak/>
              <w:t>Zarządzania Granicami (FZZG)</w:t>
            </w:r>
          </w:p>
        </w:tc>
        <w:tc>
          <w:tcPr>
            <w:tcW w:w="1831" w:type="pct"/>
          </w:tcPr>
          <w:p w14:paraId="08F8043E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F90E61">
              <w:rPr>
                <w:sz w:val="18"/>
                <w:szCs w:val="18"/>
              </w:rPr>
              <w:lastRenderedPageBreak/>
              <w:t xml:space="preserve">zarządzanie przepływami osób na granicach </w:t>
            </w:r>
            <w:r w:rsidRPr="00F90E61">
              <w:rPr>
                <w:sz w:val="18"/>
                <w:szCs w:val="18"/>
              </w:rPr>
              <w:lastRenderedPageBreak/>
              <w:t>zewnętrznych</w:t>
            </w:r>
          </w:p>
        </w:tc>
        <w:tc>
          <w:tcPr>
            <w:tcW w:w="1130" w:type="pct"/>
          </w:tcPr>
          <w:p w14:paraId="2DC76F4E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lastRenderedPageBreak/>
              <w:t>5,5 mld euro</w:t>
            </w:r>
          </w:p>
        </w:tc>
        <w:tc>
          <w:tcPr>
            <w:tcW w:w="962" w:type="pct"/>
          </w:tcPr>
          <w:p w14:paraId="5705C054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</w:tc>
      </w:tr>
      <w:tr w:rsidR="00137797" w:rsidRPr="008766B2" w14:paraId="1068176B" w14:textId="77777777" w:rsidTr="008B14F1">
        <w:tc>
          <w:tcPr>
            <w:tcW w:w="5000" w:type="pct"/>
            <w:gridSpan w:val="4"/>
            <w:shd w:val="clear" w:color="auto" w:fill="B8CCE4"/>
          </w:tcPr>
          <w:p w14:paraId="0B672E4E" w14:textId="77777777" w:rsidR="00137797" w:rsidRPr="008766B2" w:rsidRDefault="00137797" w:rsidP="008B14F1">
            <w:pPr>
              <w:spacing w:before="60" w:after="60" w:line="240" w:lineRule="auto"/>
              <w:jc w:val="center"/>
              <w:rPr>
                <w:b/>
                <w:bCs/>
                <w:lang w:val="en-US"/>
              </w:rPr>
            </w:pPr>
            <w:r w:rsidRPr="008766B2">
              <w:rPr>
                <w:b/>
                <w:bCs/>
                <w:lang w:val="en-US"/>
              </w:rPr>
              <w:t xml:space="preserve">IV. </w:t>
            </w:r>
            <w:r>
              <w:rPr>
                <w:b/>
                <w:bCs/>
                <w:lang w:val="en-US"/>
              </w:rPr>
              <w:t>Security and Defense</w:t>
            </w:r>
          </w:p>
        </w:tc>
      </w:tr>
      <w:tr w:rsidR="00137797" w:rsidRPr="00CD0F8F" w14:paraId="4F483D8F" w14:textId="77777777" w:rsidTr="008B14F1">
        <w:tc>
          <w:tcPr>
            <w:tcW w:w="1077" w:type="pct"/>
          </w:tcPr>
          <w:p w14:paraId="04571660" w14:textId="77777777" w:rsidR="00137797" w:rsidRPr="00CD0F8F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Fundusz Bezpieczeństwa Wewnętrznego</w:t>
            </w:r>
          </w:p>
        </w:tc>
        <w:tc>
          <w:tcPr>
            <w:tcW w:w="1831" w:type="pct"/>
          </w:tcPr>
          <w:p w14:paraId="1C0224B0" w14:textId="77777777" w:rsidR="00137797" w:rsidRPr="00CD0F8F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CD0F8F">
              <w:rPr>
                <w:sz w:val="18"/>
                <w:szCs w:val="18"/>
              </w:rPr>
              <w:t>wsparcie finansowe w zakresie granic zewnętrznych i wiz</w:t>
            </w:r>
            <w:r>
              <w:rPr>
                <w:sz w:val="18"/>
                <w:szCs w:val="18"/>
              </w:rPr>
              <w:t>; wsparcie w</w:t>
            </w:r>
            <w:r w:rsidRPr="00CD0F8F">
              <w:rPr>
                <w:sz w:val="18"/>
                <w:szCs w:val="18"/>
              </w:rPr>
              <w:t>spółpracy policyjnej, zapobiegania i zwalczania przestępczości oraz zarządzania kryzysowego</w:t>
            </w:r>
          </w:p>
        </w:tc>
        <w:tc>
          <w:tcPr>
            <w:tcW w:w="1130" w:type="pct"/>
          </w:tcPr>
          <w:p w14:paraId="1946362D" w14:textId="77777777" w:rsidR="00137797" w:rsidRPr="00CD0F8F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1,7 mld euro</w:t>
            </w:r>
          </w:p>
        </w:tc>
        <w:tc>
          <w:tcPr>
            <w:tcW w:w="962" w:type="pct"/>
          </w:tcPr>
          <w:p w14:paraId="359925B4" w14:textId="77777777" w:rsidR="00137797" w:rsidRPr="00CD0F8F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  <w:lang w:val="en-US"/>
              </w:rPr>
            </w:pPr>
          </w:p>
        </w:tc>
      </w:tr>
      <w:tr w:rsidR="00137797" w:rsidRPr="00CD0F8F" w14:paraId="04EB30F5" w14:textId="77777777" w:rsidTr="008B14F1">
        <w:tc>
          <w:tcPr>
            <w:tcW w:w="1077" w:type="pct"/>
          </w:tcPr>
          <w:p w14:paraId="216E889E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Europejski Instrument Obrony</w:t>
            </w:r>
          </w:p>
        </w:tc>
        <w:tc>
          <w:tcPr>
            <w:tcW w:w="1831" w:type="pct"/>
          </w:tcPr>
          <w:p w14:paraId="287BDDEE" w14:textId="77777777" w:rsidR="00137797" w:rsidRPr="00CD0F8F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</w:tc>
        <w:tc>
          <w:tcPr>
            <w:tcW w:w="1130" w:type="pct"/>
          </w:tcPr>
          <w:p w14:paraId="32FDC6B5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 md euro</w:t>
            </w:r>
          </w:p>
        </w:tc>
        <w:tc>
          <w:tcPr>
            <w:tcW w:w="962" w:type="pct"/>
          </w:tcPr>
          <w:p w14:paraId="4CBCE006" w14:textId="77777777" w:rsidR="00137797" w:rsidRPr="00CD0F8F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  <w:lang w:val="en-US"/>
              </w:rPr>
            </w:pPr>
          </w:p>
        </w:tc>
      </w:tr>
      <w:tr w:rsidR="00137797" w:rsidRPr="00CD0F8F" w14:paraId="0939567E" w14:textId="77777777" w:rsidTr="008B14F1">
        <w:tc>
          <w:tcPr>
            <w:tcW w:w="1077" w:type="pct"/>
          </w:tcPr>
          <w:p w14:paraId="4DC1D443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Mobilność wojskowa</w:t>
            </w:r>
          </w:p>
        </w:tc>
        <w:tc>
          <w:tcPr>
            <w:tcW w:w="1831" w:type="pct"/>
          </w:tcPr>
          <w:p w14:paraId="1FF8DD17" w14:textId="77777777" w:rsidR="00137797" w:rsidRPr="00CD0F8F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Komponent w ramach CEF-Transport – wsparcie finansowe infrastruktury dualnego użycia</w:t>
            </w:r>
          </w:p>
        </w:tc>
        <w:tc>
          <w:tcPr>
            <w:tcW w:w="1130" w:type="pct"/>
          </w:tcPr>
          <w:p w14:paraId="29469186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1,5 mld euro</w:t>
            </w:r>
          </w:p>
        </w:tc>
        <w:tc>
          <w:tcPr>
            <w:tcW w:w="962" w:type="pct"/>
          </w:tcPr>
          <w:p w14:paraId="1349972D" w14:textId="77777777" w:rsidR="00137797" w:rsidRPr="00CD0F8F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  <w:lang w:val="en-US"/>
              </w:rPr>
            </w:pPr>
          </w:p>
        </w:tc>
      </w:tr>
      <w:tr w:rsidR="00137797" w:rsidRPr="009175C6" w14:paraId="6372016F" w14:textId="77777777" w:rsidTr="008B14F1">
        <w:tc>
          <w:tcPr>
            <w:tcW w:w="5000" w:type="pct"/>
            <w:gridSpan w:val="4"/>
            <w:shd w:val="clear" w:color="auto" w:fill="DBE5F1"/>
          </w:tcPr>
          <w:p w14:paraId="77B7DBA3" w14:textId="77777777" w:rsidR="00137797" w:rsidRPr="009175C6" w:rsidRDefault="00137797" w:rsidP="008B14F1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9175C6">
              <w:rPr>
                <w:b/>
                <w:bCs/>
              </w:rPr>
              <w:t>EUROPEJSKI INSTRUMENT NA RZECZ ODBUDOWY (NEXT GENERATION EU)</w:t>
            </w:r>
          </w:p>
        </w:tc>
      </w:tr>
      <w:tr w:rsidR="00137797" w:rsidRPr="003B4A7E" w14:paraId="52574A04" w14:textId="77777777" w:rsidTr="008B14F1">
        <w:tc>
          <w:tcPr>
            <w:tcW w:w="1077" w:type="pct"/>
          </w:tcPr>
          <w:p w14:paraId="27ADFE08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 xml:space="preserve">Instrument na Rzecz </w:t>
            </w:r>
            <w:r>
              <w:rPr>
                <w:sz w:val="18"/>
                <w:szCs w:val="18"/>
              </w:rPr>
              <w:t xml:space="preserve">Odbudowy i </w:t>
            </w:r>
            <w:r w:rsidRPr="003B4A7E">
              <w:rPr>
                <w:sz w:val="18"/>
                <w:szCs w:val="18"/>
              </w:rPr>
              <w:t>Zwiększania Odporności (Recovery And Resilience Facility – RRF)</w:t>
            </w:r>
          </w:p>
        </w:tc>
        <w:tc>
          <w:tcPr>
            <w:tcW w:w="1831" w:type="pct"/>
          </w:tcPr>
          <w:p w14:paraId="58F7324D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F90E61">
              <w:rPr>
                <w:sz w:val="18"/>
                <w:szCs w:val="18"/>
              </w:rPr>
              <w:t xml:space="preserve">ograniczanie negatywnych skutków kryzysu związanego z pandemią koronawirusa poprzez wsparcie finansowe państw członkowskich w realizacji projektów inwestycyjnych i reform </w:t>
            </w:r>
          </w:p>
        </w:tc>
        <w:tc>
          <w:tcPr>
            <w:tcW w:w="1130" w:type="pct"/>
          </w:tcPr>
          <w:p w14:paraId="1E51930F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672,5 mld euro (dotacje: 312,5 mld euro, pożyczki: 360 mld euro)</w:t>
            </w:r>
          </w:p>
          <w:p w14:paraId="3A836D2F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Szacunkowa alokacja dla Polski: dotacje – 23</w:t>
            </w:r>
            <w:r w:rsidRPr="003B4A7E">
              <w:rPr>
                <w:sz w:val="18"/>
                <w:szCs w:val="18"/>
              </w:rPr>
              <w:t xml:space="preserve"> mld euro; </w:t>
            </w:r>
            <w:r>
              <w:rPr>
                <w:sz w:val="18"/>
                <w:szCs w:val="18"/>
              </w:rPr>
              <w:t xml:space="preserve">limit </w:t>
            </w:r>
            <w:r w:rsidRPr="003B4A7E">
              <w:rPr>
                <w:sz w:val="18"/>
                <w:szCs w:val="18"/>
              </w:rPr>
              <w:t>pożycz</w:t>
            </w:r>
            <w:r>
              <w:rPr>
                <w:sz w:val="18"/>
                <w:szCs w:val="18"/>
              </w:rPr>
              <w:t>e</w:t>
            </w:r>
            <w:r w:rsidRPr="003B4A7E">
              <w:rPr>
                <w:sz w:val="18"/>
                <w:szCs w:val="18"/>
              </w:rPr>
              <w:t xml:space="preserve">k – </w:t>
            </w:r>
            <w:r>
              <w:rPr>
                <w:sz w:val="18"/>
                <w:szCs w:val="18"/>
              </w:rPr>
              <w:t>34,2 mld euro (ceny bieżące)</w:t>
            </w:r>
          </w:p>
        </w:tc>
        <w:tc>
          <w:tcPr>
            <w:tcW w:w="962" w:type="pct"/>
          </w:tcPr>
          <w:p w14:paraId="5F006988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  <w:p w14:paraId="2DDD6EDC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Polska: 7,4% środków RRF na dotacje</w:t>
            </w:r>
          </w:p>
          <w:p w14:paraId="22F2A958" w14:textId="77777777" w:rsidR="00137797" w:rsidRPr="008B3C1D" w:rsidRDefault="00137797" w:rsidP="008B14F1">
            <w:pPr>
              <w:rPr>
                <w:sz w:val="18"/>
                <w:szCs w:val="18"/>
              </w:rPr>
            </w:pPr>
          </w:p>
        </w:tc>
      </w:tr>
      <w:tr w:rsidR="00137797" w:rsidRPr="003B4A7E" w14:paraId="178EDE89" w14:textId="77777777" w:rsidTr="008B14F1">
        <w:tc>
          <w:tcPr>
            <w:tcW w:w="1077" w:type="pct"/>
          </w:tcPr>
          <w:p w14:paraId="79BF6C5E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REACT-EU</w:t>
            </w:r>
          </w:p>
        </w:tc>
        <w:tc>
          <w:tcPr>
            <w:tcW w:w="1831" w:type="pct"/>
          </w:tcPr>
          <w:p w14:paraId="3FAD4816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3B4A7E">
              <w:rPr>
                <w:sz w:val="18"/>
                <w:szCs w:val="18"/>
              </w:rPr>
              <w:t>nicjatywy w ramach polityki spójności tj. m.in. cyfrowa oraz zielona transformacja oraz wsparcie rynku pracy</w:t>
            </w:r>
          </w:p>
        </w:tc>
        <w:tc>
          <w:tcPr>
            <w:tcW w:w="1130" w:type="pct"/>
          </w:tcPr>
          <w:p w14:paraId="75B34A3B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47,5 mld euro</w:t>
            </w:r>
            <w:r>
              <w:rPr>
                <w:sz w:val="18"/>
                <w:szCs w:val="18"/>
              </w:rPr>
              <w:t xml:space="preserve"> </w:t>
            </w:r>
          </w:p>
          <w:p w14:paraId="7A33BC41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Szacunkowa alokacja </w:t>
            </w:r>
            <w:r w:rsidRPr="003B4A7E">
              <w:rPr>
                <w:sz w:val="18"/>
                <w:szCs w:val="18"/>
              </w:rPr>
              <w:t>dla Polski</w:t>
            </w:r>
            <w:r>
              <w:rPr>
                <w:sz w:val="18"/>
                <w:szCs w:val="18"/>
              </w:rPr>
              <w:t>:</w:t>
            </w:r>
            <w:r w:rsidRPr="003B4A7E">
              <w:rPr>
                <w:sz w:val="18"/>
                <w:szCs w:val="18"/>
              </w:rPr>
              <w:t xml:space="preserve"> 3 mld euro</w:t>
            </w:r>
          </w:p>
        </w:tc>
        <w:tc>
          <w:tcPr>
            <w:tcW w:w="962" w:type="pct"/>
          </w:tcPr>
          <w:p w14:paraId="2DCA0F83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  <w:p w14:paraId="3BC1DED8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Polska: 6,3% środków REACT EU</w:t>
            </w:r>
          </w:p>
        </w:tc>
      </w:tr>
      <w:tr w:rsidR="00137797" w:rsidRPr="003B4A7E" w14:paraId="19C6A7DE" w14:textId="77777777" w:rsidTr="008B14F1">
        <w:tc>
          <w:tcPr>
            <w:tcW w:w="1077" w:type="pct"/>
          </w:tcPr>
          <w:p w14:paraId="5EFBEDFB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RESC-EU</w:t>
            </w:r>
          </w:p>
        </w:tc>
        <w:tc>
          <w:tcPr>
            <w:tcW w:w="1831" w:type="pct"/>
          </w:tcPr>
          <w:p w14:paraId="01E5A994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3B4A7E">
              <w:rPr>
                <w:sz w:val="18"/>
                <w:szCs w:val="18"/>
              </w:rPr>
              <w:t>spółpraca antykryzysowa na obszarach transgranicznych</w:t>
            </w:r>
          </w:p>
        </w:tc>
        <w:tc>
          <w:tcPr>
            <w:tcW w:w="1130" w:type="pct"/>
          </w:tcPr>
          <w:p w14:paraId="62A73BC0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1,9 mld euro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2" w:type="pct"/>
          </w:tcPr>
          <w:p w14:paraId="44AC1C4E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</w:tc>
      </w:tr>
      <w:tr w:rsidR="00137797" w:rsidRPr="003B4A7E" w14:paraId="57BDA58B" w14:textId="77777777" w:rsidTr="008B14F1">
        <w:tc>
          <w:tcPr>
            <w:tcW w:w="1077" w:type="pct"/>
          </w:tcPr>
          <w:p w14:paraId="7522A6B8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EFRROW</w:t>
            </w:r>
          </w:p>
        </w:tc>
        <w:tc>
          <w:tcPr>
            <w:tcW w:w="1831" w:type="pct"/>
          </w:tcPr>
          <w:p w14:paraId="4D62CE17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Wsparcie rozwoju obszarów wiejskich</w:t>
            </w:r>
          </w:p>
        </w:tc>
        <w:tc>
          <w:tcPr>
            <w:tcW w:w="1130" w:type="pct"/>
          </w:tcPr>
          <w:p w14:paraId="62891BE6" w14:textId="77777777" w:rsidR="00137797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 mld euro</w:t>
            </w:r>
          </w:p>
          <w:p w14:paraId="410034B3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Alokacja dla Polski 0,9 mld euro</w:t>
            </w:r>
          </w:p>
        </w:tc>
        <w:tc>
          <w:tcPr>
            <w:tcW w:w="962" w:type="pct"/>
          </w:tcPr>
          <w:p w14:paraId="3FF29151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Polska: 12% środków ROW</w:t>
            </w:r>
          </w:p>
        </w:tc>
      </w:tr>
      <w:tr w:rsidR="00137797" w:rsidRPr="009175C6" w14:paraId="79DB6126" w14:textId="77777777" w:rsidTr="008B14F1">
        <w:tc>
          <w:tcPr>
            <w:tcW w:w="5000" w:type="pct"/>
            <w:gridSpan w:val="4"/>
            <w:shd w:val="clear" w:color="auto" w:fill="DBE5F1"/>
          </w:tcPr>
          <w:p w14:paraId="2184AC86" w14:textId="77777777" w:rsidR="00137797" w:rsidRPr="009175C6" w:rsidRDefault="00137797" w:rsidP="008B14F1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9175C6">
              <w:rPr>
                <w:b/>
                <w:bCs/>
              </w:rPr>
              <w:t>PAKIET DZIAŁAŃ OSŁONOWYCH DLA PRACOWNIKÓW, FIRM I PAŃSTW CZŁONKOWSKICH</w:t>
            </w:r>
          </w:p>
        </w:tc>
      </w:tr>
      <w:tr w:rsidR="00137797" w:rsidRPr="003B4A7E" w14:paraId="12C14CED" w14:textId="77777777" w:rsidTr="008B14F1">
        <w:tc>
          <w:tcPr>
            <w:tcW w:w="1077" w:type="pct"/>
          </w:tcPr>
          <w:p w14:paraId="702AF227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PANDEMIC CRISIS SUPPORT</w:t>
            </w:r>
          </w:p>
        </w:tc>
        <w:tc>
          <w:tcPr>
            <w:tcW w:w="1831" w:type="pct"/>
          </w:tcPr>
          <w:p w14:paraId="3A98AC0B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</w:t>
            </w:r>
            <w:r w:rsidRPr="003B4A7E">
              <w:rPr>
                <w:sz w:val="18"/>
                <w:szCs w:val="18"/>
              </w:rPr>
              <w:t>rodki w formie linii pożyczkowej przeznaczone na wsparcie dla p</w:t>
            </w:r>
            <w:r>
              <w:rPr>
                <w:sz w:val="18"/>
                <w:szCs w:val="18"/>
              </w:rPr>
              <w:t>aństw członkowskich strefy euro</w:t>
            </w:r>
          </w:p>
        </w:tc>
        <w:tc>
          <w:tcPr>
            <w:tcW w:w="1130" w:type="pct"/>
          </w:tcPr>
          <w:p w14:paraId="0E0CEECD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240 mld euro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2" w:type="pct"/>
          </w:tcPr>
          <w:p w14:paraId="2131E8EB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</w:tc>
      </w:tr>
      <w:tr w:rsidR="00137797" w:rsidRPr="003B4A7E" w14:paraId="2F105758" w14:textId="77777777" w:rsidTr="008B14F1">
        <w:tc>
          <w:tcPr>
            <w:tcW w:w="1077" w:type="pct"/>
          </w:tcPr>
          <w:p w14:paraId="1CB0D380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Europejski Fundusz Gwarancyjny</w:t>
            </w:r>
          </w:p>
        </w:tc>
        <w:tc>
          <w:tcPr>
            <w:tcW w:w="1831" w:type="pct"/>
          </w:tcPr>
          <w:p w14:paraId="46AEA034" w14:textId="77777777" w:rsidR="00137797" w:rsidRPr="003B4A7E" w:rsidRDefault="00137797" w:rsidP="008B14F1">
            <w:pPr>
              <w:spacing w:before="60" w:after="60" w:line="240" w:lineRule="auto"/>
              <w:rPr>
                <w:sz w:val="18"/>
                <w:szCs w:val="18"/>
              </w:rPr>
            </w:pPr>
            <w:r w:rsidRPr="004233D3">
              <w:rPr>
                <w:sz w:val="18"/>
                <w:szCs w:val="18"/>
              </w:rPr>
              <w:t xml:space="preserve">skierowany głównie do </w:t>
            </w:r>
            <w:r>
              <w:rPr>
                <w:sz w:val="18"/>
                <w:szCs w:val="18"/>
              </w:rPr>
              <w:t>MŚP, w</w:t>
            </w:r>
            <w:r w:rsidRPr="004233D3">
              <w:rPr>
                <w:sz w:val="18"/>
                <w:szCs w:val="18"/>
              </w:rPr>
              <w:t xml:space="preserve">kłady państw członkowskich </w:t>
            </w:r>
            <w:r>
              <w:rPr>
                <w:sz w:val="18"/>
                <w:szCs w:val="18"/>
              </w:rPr>
              <w:t xml:space="preserve">(proporcjonalne do udziału w kapitale EBI) </w:t>
            </w:r>
            <w:r w:rsidRPr="004233D3">
              <w:rPr>
                <w:sz w:val="18"/>
                <w:szCs w:val="18"/>
              </w:rPr>
              <w:t xml:space="preserve">do ogólnoeuropejskiego funduszu gwarancyjnego będą mieć formę gwarancji i mogą obejmować płatność z góry </w:t>
            </w:r>
            <w:r>
              <w:rPr>
                <w:sz w:val="18"/>
                <w:szCs w:val="18"/>
              </w:rPr>
              <w:t>(g</w:t>
            </w:r>
            <w:r w:rsidRPr="004233D3">
              <w:rPr>
                <w:sz w:val="18"/>
                <w:szCs w:val="18"/>
              </w:rPr>
              <w:t>warancje pokryją straty poniesione w ramach operacji wspieranych przez fundusz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0" w:type="pct"/>
          </w:tcPr>
          <w:p w14:paraId="3444C867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200 mld euro</w:t>
            </w:r>
          </w:p>
        </w:tc>
        <w:tc>
          <w:tcPr>
            <w:tcW w:w="962" w:type="pct"/>
          </w:tcPr>
          <w:p w14:paraId="4DC8E545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</w:tc>
      </w:tr>
      <w:tr w:rsidR="00137797" w:rsidRPr="003B4A7E" w14:paraId="0ACA1EFB" w14:textId="77777777" w:rsidTr="008B14F1">
        <w:tc>
          <w:tcPr>
            <w:tcW w:w="1077" w:type="pct"/>
          </w:tcPr>
          <w:p w14:paraId="20F38531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SURE</w:t>
            </w:r>
          </w:p>
        </w:tc>
        <w:tc>
          <w:tcPr>
            <w:tcW w:w="1831" w:type="pct"/>
          </w:tcPr>
          <w:p w14:paraId="39496173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3B4A7E">
              <w:rPr>
                <w:sz w:val="18"/>
                <w:szCs w:val="18"/>
              </w:rPr>
              <w:t>nstrument szybkiego reagowania na problemy rynku pracy</w:t>
            </w:r>
          </w:p>
        </w:tc>
        <w:tc>
          <w:tcPr>
            <w:tcW w:w="1130" w:type="pct"/>
          </w:tcPr>
          <w:p w14:paraId="4F2C388A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  <w:r w:rsidRPr="003B4A7E">
              <w:rPr>
                <w:sz w:val="18"/>
                <w:szCs w:val="18"/>
              </w:rPr>
              <w:t>100 mld euro</w:t>
            </w:r>
          </w:p>
        </w:tc>
        <w:tc>
          <w:tcPr>
            <w:tcW w:w="962" w:type="pct"/>
          </w:tcPr>
          <w:p w14:paraId="6E81F613" w14:textId="77777777" w:rsidR="00137797" w:rsidRPr="003B4A7E" w:rsidRDefault="00137797" w:rsidP="008B14F1">
            <w:pPr>
              <w:spacing w:before="60" w:after="60" w:line="240" w:lineRule="auto"/>
              <w:ind w:left="139"/>
              <w:rPr>
                <w:sz w:val="18"/>
                <w:szCs w:val="18"/>
              </w:rPr>
            </w:pPr>
          </w:p>
        </w:tc>
      </w:tr>
      <w:tr w:rsidR="00137797" w:rsidRPr="009175C6" w14:paraId="08DF6F27" w14:textId="77777777" w:rsidTr="008B14F1">
        <w:tc>
          <w:tcPr>
            <w:tcW w:w="5000" w:type="pct"/>
            <w:gridSpan w:val="4"/>
            <w:shd w:val="clear" w:color="auto" w:fill="DBE5F1"/>
          </w:tcPr>
          <w:p w14:paraId="07134234" w14:textId="77777777" w:rsidR="00137797" w:rsidRPr="009175C6" w:rsidRDefault="00137797" w:rsidP="008B14F1">
            <w:p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środki prealokowane do państw członkowskich</w:t>
            </w:r>
          </w:p>
        </w:tc>
      </w:tr>
      <w:tr w:rsidR="00137797" w:rsidRPr="00B74F33" w14:paraId="476FF897" w14:textId="77777777" w:rsidTr="008B14F1">
        <w:trPr>
          <w:trHeight w:val="395"/>
        </w:trPr>
        <w:tc>
          <w:tcPr>
            <w:tcW w:w="2908" w:type="pct"/>
            <w:gridSpan w:val="2"/>
            <w:shd w:val="clear" w:color="auto" w:fill="FFFFFF"/>
          </w:tcPr>
          <w:p w14:paraId="7EB7EFB9" w14:textId="77777777" w:rsidR="00137797" w:rsidRPr="00B74F33" w:rsidRDefault="00137797" w:rsidP="008B14F1">
            <w:pPr>
              <w:spacing w:before="60" w:after="60" w:line="240" w:lineRule="auto"/>
              <w:ind w:left="142"/>
              <w:rPr>
                <w:b/>
                <w:bCs/>
                <w:sz w:val="18"/>
                <w:szCs w:val="18"/>
              </w:rPr>
            </w:pPr>
            <w:r w:rsidRPr="00B74F33">
              <w:rPr>
                <w:b/>
                <w:bCs/>
                <w:sz w:val="18"/>
                <w:szCs w:val="18"/>
              </w:rPr>
              <w:t>Wieloletnie Ramy Finansowe</w:t>
            </w:r>
            <w:r>
              <w:rPr>
                <w:b/>
                <w:bCs/>
                <w:sz w:val="18"/>
                <w:szCs w:val="18"/>
              </w:rPr>
              <w:t xml:space="preserve"> 2021-2027</w:t>
            </w:r>
          </w:p>
        </w:tc>
        <w:tc>
          <w:tcPr>
            <w:tcW w:w="1130" w:type="pct"/>
            <w:shd w:val="clear" w:color="auto" w:fill="FFFFFF"/>
          </w:tcPr>
          <w:p w14:paraId="71749420" w14:textId="77777777" w:rsidR="00137797" w:rsidRPr="00B74F33" w:rsidRDefault="00137797" w:rsidP="008B14F1">
            <w:pPr>
              <w:spacing w:before="60" w:after="60" w:line="240" w:lineRule="auto"/>
              <w:ind w:left="24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674,2</w:t>
            </w:r>
            <w:r w:rsidRPr="00B74F33">
              <w:rPr>
                <w:b/>
                <w:bCs/>
                <w:sz w:val="18"/>
                <w:szCs w:val="18"/>
              </w:rPr>
              <w:t xml:space="preserve"> mld euro</w:t>
            </w:r>
            <w:r>
              <w:rPr>
                <w:b/>
                <w:bCs/>
                <w:sz w:val="18"/>
                <w:szCs w:val="18"/>
              </w:rPr>
              <w:t xml:space="preserve"> (PS, WPR, FST)</w:t>
            </w:r>
          </w:p>
          <w:p w14:paraId="20637CA6" w14:textId="77777777" w:rsidR="00137797" w:rsidRPr="00B74F33" w:rsidRDefault="00137797" w:rsidP="008B14F1">
            <w:pPr>
              <w:spacing w:before="60" w:after="60" w:line="240" w:lineRule="auto"/>
              <w:ind w:left="243"/>
              <w:rPr>
                <w:b/>
                <w:bCs/>
                <w:sz w:val="18"/>
                <w:szCs w:val="18"/>
              </w:rPr>
            </w:pPr>
            <w:r w:rsidRPr="00B74F33">
              <w:rPr>
                <w:b/>
                <w:bCs/>
                <w:sz w:val="18"/>
                <w:szCs w:val="18"/>
              </w:rPr>
              <w:t>alokacja dla Polski: 96 mld euro</w:t>
            </w:r>
          </w:p>
        </w:tc>
        <w:tc>
          <w:tcPr>
            <w:tcW w:w="962" w:type="pct"/>
            <w:shd w:val="clear" w:color="auto" w:fill="FFFFFF"/>
          </w:tcPr>
          <w:p w14:paraId="23B1AADF" w14:textId="77777777" w:rsidR="00137797" w:rsidRDefault="00137797" w:rsidP="008B14F1">
            <w:pPr>
              <w:spacing w:before="60" w:after="60" w:line="240" w:lineRule="auto"/>
              <w:ind w:left="243"/>
              <w:rPr>
                <w:b/>
                <w:bCs/>
                <w:sz w:val="18"/>
                <w:szCs w:val="18"/>
              </w:rPr>
            </w:pPr>
          </w:p>
          <w:p w14:paraId="71F4FA2F" w14:textId="77777777" w:rsidR="00137797" w:rsidRDefault="00137797" w:rsidP="008B14F1">
            <w:pPr>
              <w:spacing w:before="60" w:after="60" w:line="240" w:lineRule="auto"/>
              <w:ind w:left="243"/>
              <w:rPr>
                <w:b/>
                <w:bCs/>
                <w:sz w:val="18"/>
                <w:szCs w:val="18"/>
              </w:rPr>
            </w:pPr>
          </w:p>
          <w:p w14:paraId="5E2EE0B9" w14:textId="77777777" w:rsidR="00137797" w:rsidRPr="00B74F33" w:rsidRDefault="00137797" w:rsidP="008B14F1">
            <w:pPr>
              <w:spacing w:before="60" w:after="60" w:line="240" w:lineRule="auto"/>
              <w:ind w:left="243"/>
              <w:rPr>
                <w:b/>
                <w:bCs/>
                <w:sz w:val="18"/>
                <w:szCs w:val="18"/>
              </w:rPr>
            </w:pPr>
            <w:r w:rsidRPr="00B74F33">
              <w:rPr>
                <w:b/>
                <w:bCs/>
                <w:sz w:val="18"/>
                <w:szCs w:val="18"/>
              </w:rPr>
              <w:t>Polska: 14,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B74F33">
              <w:rPr>
                <w:b/>
                <w:bCs/>
                <w:sz w:val="18"/>
                <w:szCs w:val="18"/>
              </w:rPr>
              <w:t xml:space="preserve">% środków </w:t>
            </w:r>
          </w:p>
        </w:tc>
      </w:tr>
      <w:tr w:rsidR="00137797" w:rsidRPr="00B74F33" w14:paraId="4E8B2C03" w14:textId="77777777" w:rsidTr="008B14F1">
        <w:trPr>
          <w:trHeight w:val="395"/>
        </w:trPr>
        <w:tc>
          <w:tcPr>
            <w:tcW w:w="2908" w:type="pct"/>
            <w:gridSpan w:val="2"/>
            <w:shd w:val="clear" w:color="auto" w:fill="FFFFFF"/>
          </w:tcPr>
          <w:p w14:paraId="2DA09B76" w14:textId="77777777" w:rsidR="00137797" w:rsidRPr="00B74F33" w:rsidRDefault="00137797" w:rsidP="008B14F1">
            <w:pPr>
              <w:spacing w:before="60" w:after="60" w:line="240" w:lineRule="auto"/>
              <w:ind w:left="142"/>
              <w:rPr>
                <w:b/>
                <w:bCs/>
                <w:sz w:val="18"/>
                <w:szCs w:val="18"/>
              </w:rPr>
            </w:pPr>
            <w:r w:rsidRPr="00B74F33">
              <w:rPr>
                <w:b/>
                <w:bCs/>
                <w:sz w:val="18"/>
                <w:szCs w:val="18"/>
              </w:rPr>
              <w:t>Europejski Instrument Odbudowy</w:t>
            </w:r>
          </w:p>
        </w:tc>
        <w:tc>
          <w:tcPr>
            <w:tcW w:w="1130" w:type="pct"/>
            <w:shd w:val="clear" w:color="auto" w:fill="FFFFFF"/>
          </w:tcPr>
          <w:p w14:paraId="0578D935" w14:textId="77777777" w:rsidR="00137797" w:rsidRPr="00B74F33" w:rsidRDefault="00137797" w:rsidP="008B14F1">
            <w:pPr>
              <w:spacing w:before="60" w:after="60" w:line="240" w:lineRule="auto"/>
              <w:ind w:left="243"/>
              <w:rPr>
                <w:b/>
                <w:bCs/>
                <w:sz w:val="18"/>
                <w:szCs w:val="18"/>
              </w:rPr>
            </w:pPr>
            <w:r w:rsidRPr="00B74F33">
              <w:rPr>
                <w:b/>
                <w:bCs/>
                <w:sz w:val="18"/>
                <w:szCs w:val="18"/>
              </w:rPr>
              <w:t>377,5 mld euro (bez instrumentów zarządzanych centralnie)</w:t>
            </w:r>
          </w:p>
          <w:p w14:paraId="083189D8" w14:textId="77777777" w:rsidR="00137797" w:rsidRPr="00B74F33" w:rsidRDefault="00137797" w:rsidP="008B14F1">
            <w:pPr>
              <w:spacing w:before="60" w:after="60" w:line="240" w:lineRule="auto"/>
              <w:ind w:left="24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Pr="00B74F33">
              <w:rPr>
                <w:b/>
                <w:bCs/>
                <w:sz w:val="18"/>
                <w:szCs w:val="18"/>
              </w:rPr>
              <w:t>lokacja dla Polski: 28,9 mld euro</w:t>
            </w:r>
          </w:p>
        </w:tc>
        <w:tc>
          <w:tcPr>
            <w:tcW w:w="962" w:type="pct"/>
            <w:shd w:val="clear" w:color="auto" w:fill="FFFFFF"/>
          </w:tcPr>
          <w:p w14:paraId="6F81D0CC" w14:textId="77777777" w:rsidR="00137797" w:rsidRDefault="00137797" w:rsidP="008B14F1">
            <w:pPr>
              <w:spacing w:before="60" w:after="60" w:line="240" w:lineRule="auto"/>
              <w:ind w:left="243"/>
              <w:rPr>
                <w:b/>
                <w:bCs/>
                <w:sz w:val="18"/>
                <w:szCs w:val="18"/>
              </w:rPr>
            </w:pPr>
          </w:p>
          <w:p w14:paraId="62341E30" w14:textId="77777777" w:rsidR="00137797" w:rsidRDefault="00137797" w:rsidP="008B14F1">
            <w:pPr>
              <w:spacing w:before="60" w:after="60" w:line="240" w:lineRule="auto"/>
              <w:ind w:left="243"/>
              <w:rPr>
                <w:b/>
                <w:bCs/>
                <w:sz w:val="18"/>
                <w:szCs w:val="18"/>
              </w:rPr>
            </w:pPr>
          </w:p>
          <w:p w14:paraId="04770FDA" w14:textId="77777777" w:rsidR="00137797" w:rsidRDefault="00137797" w:rsidP="008B14F1">
            <w:pPr>
              <w:spacing w:before="60" w:after="60" w:line="240" w:lineRule="auto"/>
              <w:ind w:left="243"/>
              <w:rPr>
                <w:b/>
                <w:bCs/>
                <w:sz w:val="18"/>
                <w:szCs w:val="18"/>
              </w:rPr>
            </w:pPr>
          </w:p>
          <w:p w14:paraId="66A7CDB3" w14:textId="77777777" w:rsidR="00137797" w:rsidRPr="00B74F33" w:rsidRDefault="00137797" w:rsidP="008B14F1">
            <w:pPr>
              <w:spacing w:before="60" w:after="60" w:line="240" w:lineRule="auto"/>
              <w:ind w:left="243"/>
              <w:rPr>
                <w:b/>
                <w:bCs/>
                <w:sz w:val="18"/>
                <w:szCs w:val="18"/>
              </w:rPr>
            </w:pPr>
            <w:r w:rsidRPr="00B74F33">
              <w:rPr>
                <w:b/>
                <w:bCs/>
                <w:sz w:val="18"/>
                <w:szCs w:val="18"/>
              </w:rPr>
              <w:t xml:space="preserve">Polska: 7,7% środków </w:t>
            </w:r>
          </w:p>
        </w:tc>
      </w:tr>
      <w:tr w:rsidR="00137797" w:rsidRPr="00B74F33" w14:paraId="6729A797" w14:textId="77777777" w:rsidTr="008B14F1">
        <w:trPr>
          <w:trHeight w:val="395"/>
        </w:trPr>
        <w:tc>
          <w:tcPr>
            <w:tcW w:w="2908" w:type="pct"/>
            <w:gridSpan w:val="2"/>
            <w:shd w:val="clear" w:color="auto" w:fill="FFFFFF"/>
          </w:tcPr>
          <w:p w14:paraId="4C243CB7" w14:textId="77777777" w:rsidR="00137797" w:rsidRPr="00B74F33" w:rsidRDefault="00137797" w:rsidP="008B14F1">
            <w:pPr>
              <w:spacing w:before="60" w:after="60" w:line="240" w:lineRule="auto"/>
              <w:ind w:left="142"/>
              <w:rPr>
                <w:b/>
                <w:bCs/>
                <w:sz w:val="18"/>
                <w:szCs w:val="18"/>
              </w:rPr>
            </w:pPr>
            <w:r w:rsidRPr="00B74F33">
              <w:rPr>
                <w:b/>
                <w:bCs/>
                <w:sz w:val="18"/>
                <w:szCs w:val="18"/>
              </w:rPr>
              <w:lastRenderedPageBreak/>
              <w:t>WRF+EIO</w:t>
            </w:r>
          </w:p>
        </w:tc>
        <w:tc>
          <w:tcPr>
            <w:tcW w:w="1130" w:type="pct"/>
            <w:shd w:val="clear" w:color="auto" w:fill="FFFFFF"/>
          </w:tcPr>
          <w:p w14:paraId="253A1937" w14:textId="77777777" w:rsidR="00137797" w:rsidRPr="00B74F33" w:rsidRDefault="00137797" w:rsidP="008B14F1">
            <w:pPr>
              <w:spacing w:before="60" w:after="60" w:line="240" w:lineRule="auto"/>
              <w:ind w:left="24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1051,7</w:t>
            </w:r>
            <w:r w:rsidRPr="00B74F33">
              <w:rPr>
                <w:b/>
                <w:bCs/>
                <w:sz w:val="18"/>
                <w:szCs w:val="18"/>
              </w:rPr>
              <w:t xml:space="preserve"> mld euro</w:t>
            </w:r>
          </w:p>
          <w:p w14:paraId="40E61990" w14:textId="77777777" w:rsidR="00137797" w:rsidRPr="00B74F33" w:rsidRDefault="00137797" w:rsidP="008B14F1">
            <w:pPr>
              <w:spacing w:before="60" w:after="60" w:line="240" w:lineRule="auto"/>
              <w:ind w:left="243"/>
              <w:rPr>
                <w:b/>
                <w:bCs/>
                <w:sz w:val="18"/>
                <w:szCs w:val="18"/>
              </w:rPr>
            </w:pPr>
            <w:r w:rsidRPr="00B74F33">
              <w:rPr>
                <w:b/>
                <w:bCs/>
                <w:sz w:val="18"/>
                <w:szCs w:val="18"/>
              </w:rPr>
              <w:t xml:space="preserve">Łącznie dla Polski: 124,9 mld euro </w:t>
            </w:r>
          </w:p>
        </w:tc>
        <w:tc>
          <w:tcPr>
            <w:tcW w:w="962" w:type="pct"/>
            <w:shd w:val="clear" w:color="auto" w:fill="FFFFFF"/>
          </w:tcPr>
          <w:p w14:paraId="566F8732" w14:textId="77777777" w:rsidR="00137797" w:rsidRDefault="00137797" w:rsidP="008B14F1">
            <w:pPr>
              <w:spacing w:before="60" w:after="60" w:line="240" w:lineRule="auto"/>
              <w:ind w:left="243"/>
              <w:rPr>
                <w:b/>
                <w:bCs/>
                <w:sz w:val="18"/>
                <w:szCs w:val="18"/>
              </w:rPr>
            </w:pPr>
          </w:p>
          <w:p w14:paraId="0FA279DC" w14:textId="77777777" w:rsidR="00137797" w:rsidRPr="00B74F33" w:rsidRDefault="00137797" w:rsidP="008B14F1">
            <w:pPr>
              <w:spacing w:before="60" w:after="60" w:line="240" w:lineRule="auto"/>
              <w:ind w:left="24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Polska: 11,9% </w:t>
            </w:r>
            <w:r w:rsidRPr="00B74F33">
              <w:rPr>
                <w:b/>
                <w:bCs/>
                <w:sz w:val="18"/>
                <w:szCs w:val="18"/>
              </w:rPr>
              <w:t>środków</w:t>
            </w:r>
          </w:p>
        </w:tc>
      </w:tr>
    </w:tbl>
    <w:p w14:paraId="440F2E50" w14:textId="77777777" w:rsidR="00137797" w:rsidRDefault="00026264">
      <w:r>
        <w:br w:type="page"/>
      </w:r>
    </w:p>
    <w:p w14:paraId="15708077" w14:textId="111460D9" w:rsidR="00026264" w:rsidRDefault="00026264" w:rsidP="00026264">
      <w:pPr>
        <w:pStyle w:val="Nagwek1"/>
        <w:rPr>
          <w:b/>
        </w:rPr>
      </w:pPr>
      <w:bookmarkStart w:id="12" w:name="_Toc47710501"/>
      <w:bookmarkStart w:id="13" w:name="_Toc55888890"/>
      <w:r w:rsidRPr="0087091C">
        <w:rPr>
          <w:b/>
        </w:rPr>
        <w:lastRenderedPageBreak/>
        <w:t xml:space="preserve">Aneks </w:t>
      </w:r>
      <w:r w:rsidR="00137797">
        <w:rPr>
          <w:b/>
        </w:rPr>
        <w:t xml:space="preserve">2 </w:t>
      </w:r>
      <w:r w:rsidRPr="0087091C">
        <w:rPr>
          <w:b/>
        </w:rPr>
        <w:t>- Metod</w:t>
      </w:r>
      <w:r w:rsidR="004414CF">
        <w:rPr>
          <w:b/>
        </w:rPr>
        <w:t>a</w:t>
      </w:r>
      <w:r w:rsidRPr="0087091C">
        <w:rPr>
          <w:b/>
        </w:rPr>
        <w:t xml:space="preserve"> podziału</w:t>
      </w:r>
      <w:bookmarkEnd w:id="12"/>
      <w:r w:rsidRPr="0087091C">
        <w:rPr>
          <w:b/>
        </w:rPr>
        <w:t xml:space="preserve"> alokacji na programy regionalne</w:t>
      </w:r>
      <w:bookmarkEnd w:id="13"/>
    </w:p>
    <w:p w14:paraId="17FD2110" w14:textId="77777777" w:rsidR="0087091C" w:rsidRPr="0087091C" w:rsidRDefault="0087091C" w:rsidP="0087091C"/>
    <w:p w14:paraId="725F44A3" w14:textId="77777777" w:rsidR="00026264" w:rsidRDefault="00026264" w:rsidP="00026264">
      <w:pPr>
        <w:spacing w:after="0"/>
        <w:jc w:val="both"/>
      </w:pPr>
      <w:r>
        <w:t xml:space="preserve">Do wyliczenia alokacji przyznawanych poszczególnym regionom w ramach RPO zastosowano metodę opartą </w:t>
      </w:r>
      <w:r w:rsidRPr="001D5972">
        <w:rPr>
          <w:b/>
        </w:rPr>
        <w:t>o standaryzowany system punktowy</w:t>
      </w:r>
      <w:r>
        <w:t>. Na podstawie wybranych wskaźników społeczno-ekonomicznych przyznawane są punkty (nie posiadające jednostki), co pozwala uniknąć problemu porównywalności różnych wskaźników, zarówno pod względem zróżnicowania jednostki (np. PKB per capita podawane jest w złotówkach na osobę, a emisja zanieczyszczeń w tonach na rok), jak i pod względem rzędu wielkości (np. ludność podawana jest w milionach, a stopa bezrobocia jako odsetek). Przyznane punkty są następnie ponownie standaryzowane, celem nadania jednakowych wag punktom za ludność, zamożność regionu oraz za wszystkie cele polityki. Udział uzyskanych przez dany region punków w sumie punktów wszystkich regionów jest tożsamy z udziałem funduszy przyznanych na dany RPO w sumie funduszy przeznaczonych na wszystkie RPO.</w:t>
      </w:r>
    </w:p>
    <w:p w14:paraId="4BD911FB" w14:textId="77777777" w:rsidR="00026264" w:rsidRDefault="00026264" w:rsidP="00026264">
      <w:pPr>
        <w:jc w:val="both"/>
      </w:pPr>
      <w:r>
        <w:t xml:space="preserve">Poniżej opisano szczegółowo działanie algorytmu. </w:t>
      </w:r>
    </w:p>
    <w:p w14:paraId="6193B242" w14:textId="77777777" w:rsidR="00026264" w:rsidRPr="00B262BE" w:rsidRDefault="00026264" w:rsidP="00B262BE">
      <w:pPr>
        <w:rPr>
          <w:rFonts w:asciiTheme="majorHAnsi" w:hAnsiTheme="majorHAnsi" w:cstheme="majorHAnsi"/>
          <w:color w:val="0070C0"/>
          <w:sz w:val="24"/>
        </w:rPr>
      </w:pPr>
      <w:bookmarkStart w:id="14" w:name="_Toc47710504"/>
      <w:r w:rsidRPr="00B262BE">
        <w:rPr>
          <w:rFonts w:asciiTheme="majorHAnsi" w:hAnsiTheme="majorHAnsi" w:cstheme="majorHAnsi"/>
          <w:color w:val="0070C0"/>
          <w:sz w:val="24"/>
        </w:rPr>
        <w:t>Opis danych</w:t>
      </w:r>
      <w:bookmarkEnd w:id="14"/>
    </w:p>
    <w:p w14:paraId="7A2A7347" w14:textId="77777777" w:rsidR="00026264" w:rsidRDefault="00026264" w:rsidP="00026264">
      <w:pPr>
        <w:spacing w:after="0"/>
        <w:jc w:val="both"/>
      </w:pPr>
      <w:r>
        <w:t>Do wyliczeń wykorzystano sześć wskaźników społeczno-ekonomicznych:</w:t>
      </w:r>
    </w:p>
    <w:p w14:paraId="49955ACF" w14:textId="77777777" w:rsidR="00026264" w:rsidRDefault="00026264" w:rsidP="00026264">
      <w:pPr>
        <w:pStyle w:val="Akapitzlist"/>
        <w:numPr>
          <w:ilvl w:val="0"/>
          <w:numId w:val="2"/>
        </w:numPr>
        <w:jc w:val="both"/>
      </w:pPr>
      <w:r>
        <w:t>dwa związane z wielkością i zamożnością województwa:</w:t>
      </w:r>
    </w:p>
    <w:p w14:paraId="01C9A652" w14:textId="77777777" w:rsidR="00026264" w:rsidRDefault="00026264" w:rsidP="00026264">
      <w:pPr>
        <w:pStyle w:val="Akapitzlist"/>
        <w:numPr>
          <w:ilvl w:val="1"/>
          <w:numId w:val="2"/>
        </w:numPr>
        <w:jc w:val="both"/>
      </w:pPr>
      <w:r>
        <w:t>Liczbę ludności [osoby]</w:t>
      </w:r>
    </w:p>
    <w:p w14:paraId="2FFE5994" w14:textId="77777777" w:rsidR="00026264" w:rsidRDefault="00026264" w:rsidP="00026264">
      <w:pPr>
        <w:pStyle w:val="Akapitzlist"/>
        <w:numPr>
          <w:ilvl w:val="1"/>
          <w:numId w:val="2"/>
        </w:numPr>
        <w:jc w:val="both"/>
      </w:pPr>
      <w:r>
        <w:t>PKB na mieszkańca [zł/os.]</w:t>
      </w:r>
    </w:p>
    <w:p w14:paraId="4BBF48AD" w14:textId="77777777" w:rsidR="00026264" w:rsidRDefault="00026264" w:rsidP="00026264">
      <w:pPr>
        <w:pStyle w:val="Akapitzlist"/>
        <w:numPr>
          <w:ilvl w:val="0"/>
          <w:numId w:val="2"/>
        </w:numPr>
        <w:jc w:val="both"/>
      </w:pPr>
      <w:r>
        <w:t>po jednym na pięć celów polityki:</w:t>
      </w:r>
    </w:p>
    <w:p w14:paraId="0453F163" w14:textId="77777777" w:rsidR="00026264" w:rsidRDefault="00026264" w:rsidP="00026264">
      <w:pPr>
        <w:pStyle w:val="Akapitzlist"/>
        <w:numPr>
          <w:ilvl w:val="1"/>
          <w:numId w:val="2"/>
        </w:numPr>
        <w:jc w:val="both"/>
      </w:pPr>
      <w:r>
        <w:t>CP1</w:t>
      </w:r>
    </w:p>
    <w:p w14:paraId="236022F5" w14:textId="77777777" w:rsidR="00026264" w:rsidRDefault="00026264" w:rsidP="00026264">
      <w:pPr>
        <w:pStyle w:val="Akapitzlist"/>
        <w:numPr>
          <w:ilvl w:val="1"/>
          <w:numId w:val="2"/>
        </w:numPr>
        <w:jc w:val="both"/>
      </w:pPr>
      <w:r>
        <w:t>CP2</w:t>
      </w:r>
    </w:p>
    <w:p w14:paraId="3A29C920" w14:textId="77777777" w:rsidR="00026264" w:rsidRDefault="00026264" w:rsidP="00026264">
      <w:pPr>
        <w:pStyle w:val="Akapitzlist"/>
        <w:numPr>
          <w:ilvl w:val="1"/>
          <w:numId w:val="2"/>
        </w:numPr>
        <w:jc w:val="both"/>
      </w:pPr>
      <w:r>
        <w:t>CP3</w:t>
      </w:r>
    </w:p>
    <w:p w14:paraId="7015AC56" w14:textId="77777777" w:rsidR="00026264" w:rsidRDefault="00026264" w:rsidP="00026264">
      <w:pPr>
        <w:pStyle w:val="Akapitzlist"/>
        <w:numPr>
          <w:ilvl w:val="1"/>
          <w:numId w:val="2"/>
        </w:numPr>
        <w:spacing w:after="0"/>
        <w:jc w:val="both"/>
      </w:pPr>
      <w:r>
        <w:t>CP4</w:t>
      </w:r>
    </w:p>
    <w:p w14:paraId="0A8145AC" w14:textId="77777777" w:rsidR="00026264" w:rsidRDefault="00026264" w:rsidP="00026264">
      <w:pPr>
        <w:pStyle w:val="Akapitzlist"/>
        <w:numPr>
          <w:ilvl w:val="1"/>
          <w:numId w:val="2"/>
        </w:numPr>
        <w:spacing w:after="0"/>
        <w:jc w:val="both"/>
      </w:pPr>
      <w:r>
        <w:t>CP5</w:t>
      </w:r>
    </w:p>
    <w:p w14:paraId="1C5A96A7" w14:textId="77777777" w:rsidR="00026264" w:rsidRDefault="00026264" w:rsidP="00026264">
      <w:pPr>
        <w:jc w:val="both"/>
      </w:pPr>
      <w:r>
        <w:t>Jako okres referencyjny przyjęto lata 2014-2018. W przypadku braków danych za dany rok, okres referencyjny jest odpowiednio skracany. Wszystkie dane pochodzą z GUS, Eurostatu oraz PAN</w:t>
      </w:r>
      <w:r>
        <w:rPr>
          <w:rStyle w:val="Odwoanieprzypisudolnego"/>
        </w:rPr>
        <w:footnoteReference w:id="13"/>
      </w:r>
      <w:r>
        <w:t>.</w:t>
      </w:r>
    </w:p>
    <w:p w14:paraId="5A523CDD" w14:textId="77777777" w:rsidR="00026264" w:rsidRPr="00B262BE" w:rsidRDefault="00026264" w:rsidP="00B262BE">
      <w:pPr>
        <w:rPr>
          <w:rFonts w:asciiTheme="majorHAnsi" w:hAnsiTheme="majorHAnsi" w:cstheme="majorHAnsi"/>
          <w:color w:val="0070C0"/>
          <w:sz w:val="24"/>
        </w:rPr>
      </w:pPr>
      <w:bookmarkStart w:id="15" w:name="_Toc47710505"/>
      <w:r w:rsidRPr="00B262BE">
        <w:rPr>
          <w:rFonts w:asciiTheme="majorHAnsi" w:hAnsiTheme="majorHAnsi" w:cstheme="majorHAnsi"/>
          <w:color w:val="0070C0"/>
          <w:sz w:val="24"/>
        </w:rPr>
        <w:t>Etap pierwszy: interpolacja liniowa punktów za dany wskaźnik</w:t>
      </w:r>
      <w:bookmarkEnd w:id="15"/>
    </w:p>
    <w:p w14:paraId="1FF5CCF8" w14:textId="77777777" w:rsidR="00026264" w:rsidRDefault="00026264" w:rsidP="00026264">
      <w:pPr>
        <w:spacing w:after="0"/>
        <w:jc w:val="both"/>
      </w:pPr>
      <w:r>
        <w:t>W tej części algorytmu „surowe” wskaźniki są standaryzowane celem zapewnienia porównywalności między nimi. Dodatkowo stosowana jest korekta odwróconym współczynnikiem zmienności</w:t>
      </w:r>
      <w:r>
        <w:rPr>
          <w:rStyle w:val="Odwoanieprzypisudolnego"/>
        </w:rPr>
        <w:footnoteReference w:id="14"/>
      </w:r>
      <w:r>
        <w:t>, mająca na celu dostosowanie przyznawanych punktów do zróżnicowania punktowanego wskaźnika, co pozwala lepiej oddać relację między regionami za pomocą przyznawanych punków.</w:t>
      </w:r>
    </w:p>
    <w:p w14:paraId="33C5020A" w14:textId="77777777" w:rsidR="00026264" w:rsidRDefault="00026264" w:rsidP="00026264">
      <w:pPr>
        <w:jc w:val="both"/>
      </w:pPr>
      <w:r>
        <w:t>Poniżej znajduje się szczegółowy opis procedury.</w:t>
      </w:r>
    </w:p>
    <w:p w14:paraId="27EBF919" w14:textId="77777777" w:rsidR="00026264" w:rsidRDefault="00026264" w:rsidP="00026264">
      <w:pPr>
        <w:jc w:val="both"/>
      </w:pPr>
      <w:r>
        <w:t>W pierwszym kroku wyliczana jest średnia arytmetyczna za lata 2014-2018 dla każdego wskaźnika w poszczególnych regionach</w:t>
      </w:r>
      <w:r>
        <w:rPr>
          <w:rStyle w:val="Odwoanieprzypisudolnego"/>
        </w:rPr>
        <w:footnoteReference w:id="15"/>
      </w:r>
      <w:r>
        <w:t>. Pozwala to wyeliminować wahania w poszczególnych latach. Wszystkie późniejsze operacje są wykonywane na otrzymanych średnich.</w:t>
      </w:r>
    </w:p>
    <w:p w14:paraId="22C00827" w14:textId="77777777" w:rsidR="00026264" w:rsidRDefault="00026264" w:rsidP="00026264">
      <w:pPr>
        <w:jc w:val="both"/>
      </w:pPr>
      <w:r>
        <w:t xml:space="preserve">Następnym krokiem jest przyznanie punktów za dany wskaźnik. Liczbę przyznawanych punktów opisuje wzór: </w:t>
      </w:r>
      <m:oMath>
        <m:r>
          <w:rPr>
            <w:rFonts w:ascii="Cambria Math" w:hAnsi="Cambria Math"/>
          </w:rPr>
          <m:t>y=ax+b</m:t>
        </m:r>
      </m:oMath>
      <w:r>
        <w:t xml:space="preserve">, gdzie: </w:t>
      </w:r>
      <m:oMath>
        <m:r>
          <w:rPr>
            <w:rFonts w:ascii="Cambria Math" w:hAnsi="Cambria Math"/>
          </w:rPr>
          <m:t>y</m:t>
        </m:r>
      </m:oMath>
      <w:r>
        <w:t xml:space="preserve"> – liczba przyznanych punktów, </w:t>
      </w:r>
      <m:oMath>
        <m:r>
          <w:rPr>
            <w:rFonts w:ascii="Cambria Math" w:hAnsi="Cambria Math"/>
          </w:rPr>
          <m:t>x</m:t>
        </m:r>
      </m:oMath>
      <w:r>
        <w:t xml:space="preserve"> – wartość wskaźnika (średnia dla </w:t>
      </w:r>
      <w:r>
        <w:lastRenderedPageBreak/>
        <w:t xml:space="preserve">okresu referencyjnego), </w:t>
      </w:r>
      <m:oMath>
        <m:r>
          <w:rPr>
            <w:rFonts w:ascii="Cambria Math" w:hAnsi="Cambria Math"/>
          </w:rPr>
          <m:t>a</m:t>
        </m:r>
      </m:oMath>
      <w:r>
        <w:t xml:space="preserve"> i </w:t>
      </w:r>
      <m:oMath>
        <m:r>
          <w:rPr>
            <w:rFonts w:ascii="Cambria Math" w:hAnsi="Cambria Math"/>
          </w:rPr>
          <m:t>b</m:t>
        </m:r>
      </m:oMath>
      <w:r>
        <w:t xml:space="preserve"> – współczynnik kierunkowy i wyraz wolny obliczane indywidualnie dla każdego wskaźnika społeczno-ekonomicznego.</w:t>
      </w:r>
    </w:p>
    <w:p w14:paraId="3C05925D" w14:textId="77777777" w:rsidR="00026264" w:rsidRDefault="00026264" w:rsidP="00026264">
      <w:pPr>
        <w:jc w:val="both"/>
      </w:pPr>
      <w:r>
        <w:t>Maksymalna liczba punktów przyznawanych za dany wskaźnik wynosi 100 i tyle przypada regionowi, który w danej kategorii osiągnął wynik, wskazujący na najwyższą potrzebę wsparcia (np. najniższe nakłady na B+R).</w:t>
      </w:r>
    </w:p>
    <w:p w14:paraId="3CCCDD97" w14:textId="77777777" w:rsidR="00026264" w:rsidRDefault="00026264" w:rsidP="00026264">
      <w:pPr>
        <w:jc w:val="both"/>
        <w:rPr>
          <w:rFonts w:eastAsiaTheme="minorEastAsia"/>
        </w:rPr>
      </w:pPr>
      <w:r>
        <w:t xml:space="preserve">Minimalna liczba punktów dana jest jako dziesięciokrotność odwróconego współczynnika zmienności, zatem wyznacza ją wzór: </w:t>
      </w:r>
      <m:oMath>
        <m:r>
          <w:rPr>
            <w:rFonts w:ascii="Cambria Math" w:hAnsi="Cambria Math"/>
          </w:rPr>
          <m:t>min=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wsp. zmienności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10*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rPr>
          <w:rFonts w:eastAsiaTheme="minorEastAsia"/>
        </w:rPr>
        <w:t xml:space="preserve">, gdzie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– średnia,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– odchylenie standardowe. Wartość minimalna powinna w praktyce dawać wyniki oscylujące wokół kilkudziesięciu punktów (15-60).</w:t>
      </w:r>
    </w:p>
    <w:p w14:paraId="1A5DC199" w14:textId="77777777" w:rsidR="00026264" w:rsidRDefault="00026264" w:rsidP="00026264">
      <w:pPr>
        <w:jc w:val="both"/>
        <w:rPr>
          <w:rFonts w:eastAsiaTheme="minorEastAsia"/>
        </w:rPr>
      </w:pPr>
      <w:r>
        <w:rPr>
          <w:rFonts w:eastAsiaTheme="minorEastAsia"/>
        </w:rPr>
        <w:t>Powyższe dostosowanie ma znaczenie ze względu na nierównomierny rozkład cechy, rozumianej jako konkretny wskaźnik społeczno-ekonomiczny. W szczególności, to dostosowanie jest istotne dla wskaźników o małym zróżnicowaniu i rozstępie</w:t>
      </w:r>
      <w:r>
        <w:rPr>
          <w:rStyle w:val="Odwoanieprzypisudolnego"/>
          <w:rFonts w:eastAsiaTheme="minorEastAsia"/>
        </w:rPr>
        <w:footnoteReference w:id="16"/>
      </w:r>
      <w:r>
        <w:rPr>
          <w:rFonts w:eastAsiaTheme="minorEastAsia"/>
        </w:rPr>
        <w:t xml:space="preserve">. Za przykład niech posłuży PKB pc, które dla </w:t>
      </w:r>
      <w:r w:rsidRPr="00E333FD">
        <w:rPr>
          <w:rFonts w:eastAsiaTheme="minorEastAsia"/>
        </w:rPr>
        <w:t>16</w:t>
      </w:r>
      <w:r>
        <w:rPr>
          <w:rFonts w:eastAsiaTheme="minorEastAsia"/>
        </w:rPr>
        <w:t> </w:t>
      </w:r>
      <w:r w:rsidRPr="00E333FD">
        <w:rPr>
          <w:rFonts w:eastAsiaTheme="minorEastAsia"/>
        </w:rPr>
        <w:t xml:space="preserve">badanych </w:t>
      </w:r>
      <w:r>
        <w:rPr>
          <w:rFonts w:eastAsiaTheme="minorEastAsia"/>
        </w:rPr>
        <w:t>regionów</w:t>
      </w:r>
      <w:r>
        <w:rPr>
          <w:rStyle w:val="Odwoanieprzypisudolnego"/>
          <w:rFonts w:eastAsiaTheme="minorEastAsia"/>
        </w:rPr>
        <w:footnoteReference w:id="17"/>
      </w:r>
      <w:r>
        <w:rPr>
          <w:rFonts w:eastAsiaTheme="minorEastAsia"/>
        </w:rPr>
        <w:t xml:space="preserve"> zawiera się w przedziale od 32,2 tys. zł do 52,0 tys. zł. Gdyby przyznawać proporcjonalnie punkty z zakresu 0-100, bardzo niewielka różnica w PKB pc skutkowałaby relatywnie dużym skokiem w punktacji. Obrazuje to poniższy wykres.</w:t>
      </w:r>
    </w:p>
    <w:p w14:paraId="19D8D8F6" w14:textId="77777777" w:rsidR="00026264" w:rsidRDefault="00026264" w:rsidP="00026264">
      <w:pPr>
        <w:jc w:val="both"/>
      </w:pPr>
      <w:r>
        <w:rPr>
          <w:noProof/>
          <w:lang w:eastAsia="pl-PL"/>
        </w:rPr>
        <w:drawing>
          <wp:inline distT="0" distB="0" distL="0" distR="0" wp14:anchorId="646F6040" wp14:editId="1FCC6087">
            <wp:extent cx="5760720" cy="3267075"/>
            <wp:effectExtent l="0" t="0" r="11430" b="952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2F0808B2" w14:textId="77777777" w:rsidR="00026264" w:rsidRDefault="00026264" w:rsidP="00026264">
      <w:pPr>
        <w:jc w:val="both"/>
      </w:pPr>
      <w:r>
        <w:t>W przypadku braku korekty relatywnie niewielka różnica w zamożności np. między woj. małopolskim i łódzkim, wynosząca ok. 1,6 tys. zł skutkuje różnicą aż 8 pkt, co może przełożyć się na kilkaset milionów zł różnicy w ostatecznym podziale RPO. Po dostosowaniu współczynnikiem zmienności różnica wydaje się być bardziej adekwatna i wynosi 3 pkt, co odpowiednio zmniejsza różnicę przyznanych środków.</w:t>
      </w:r>
    </w:p>
    <w:p w14:paraId="62425866" w14:textId="77777777" w:rsidR="00026264" w:rsidRDefault="00026264" w:rsidP="00026264">
      <w:pPr>
        <w:jc w:val="both"/>
      </w:pPr>
      <w:r>
        <w:t xml:space="preserve">Powyższa metoda jest stosowana dla wszystkich siedmiu wskaźników, co pozwala uzyskać ich porównywalność oraz zachować odpowiednią proporcję przyznawanych punktów. Obrazuje to poniższy wykres – liczba ludności województw i przyznane za tę kategorię punkty. Przy odpowiednim </w:t>
      </w:r>
      <w:r>
        <w:lastRenderedPageBreak/>
        <w:t>dostosowaniu skali lewej osi (wartość maksymalna równa liczbie ludności woj. śląskiego) obie krzywe powinny się pokryć.</w:t>
      </w:r>
    </w:p>
    <w:p w14:paraId="264622B0" w14:textId="77777777" w:rsidR="00026264" w:rsidRDefault="00026264" w:rsidP="00026264">
      <w:pPr>
        <w:jc w:val="both"/>
      </w:pPr>
      <w:r w:rsidRPr="00AF3120">
        <w:rPr>
          <w:noProof/>
          <w:lang w:eastAsia="en-GB"/>
        </w:rPr>
        <w:t xml:space="preserve"> </w:t>
      </w:r>
      <w:r>
        <w:rPr>
          <w:noProof/>
          <w:lang w:eastAsia="pl-PL"/>
        </w:rPr>
        <w:drawing>
          <wp:inline distT="0" distB="0" distL="0" distR="0" wp14:anchorId="7E9FD662" wp14:editId="54F06868">
            <wp:extent cx="5764696" cy="3387256"/>
            <wp:effectExtent l="0" t="0" r="26670" b="2286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6BAD8769" w14:textId="77777777" w:rsidR="00026264" w:rsidRPr="00B262BE" w:rsidRDefault="00026264" w:rsidP="00B262BE">
      <w:pPr>
        <w:rPr>
          <w:rFonts w:asciiTheme="majorHAnsi" w:hAnsiTheme="majorHAnsi" w:cstheme="majorHAnsi"/>
          <w:color w:val="0070C0"/>
          <w:sz w:val="24"/>
        </w:rPr>
      </w:pPr>
      <w:bookmarkStart w:id="16" w:name="_Toc47710506"/>
      <w:r w:rsidRPr="00B262BE">
        <w:rPr>
          <w:rFonts w:asciiTheme="majorHAnsi" w:hAnsiTheme="majorHAnsi" w:cstheme="majorHAnsi"/>
          <w:color w:val="0070C0"/>
          <w:sz w:val="24"/>
        </w:rPr>
        <w:t>Etap drugi: zrównanie wag poszczególnych wskaźników</w:t>
      </w:r>
      <w:bookmarkEnd w:id="16"/>
    </w:p>
    <w:p w14:paraId="7B30C04D" w14:textId="77777777" w:rsidR="00026264" w:rsidRDefault="00026264" w:rsidP="00026264">
      <w:pPr>
        <w:jc w:val="both"/>
      </w:pPr>
      <w:r>
        <w:t>Ustandaryzowaną punktację uzyskaną w pierwszym etapie algorytmu można zestawić w przykładowej tabeli</w:t>
      </w:r>
      <w:r>
        <w:rPr>
          <w:rStyle w:val="Odwoanieprzypisudolnego"/>
        </w:rPr>
        <w:footnoteReference w:id="18"/>
      </w:r>
      <w:r>
        <w:t>:</w:t>
      </w:r>
    </w:p>
    <w:bookmarkStart w:id="17" w:name="_MON_1631709700"/>
    <w:bookmarkEnd w:id="17"/>
    <w:p w14:paraId="184E3F3D" w14:textId="77777777" w:rsidR="00026264" w:rsidRDefault="00026264" w:rsidP="00026264">
      <w:pPr>
        <w:jc w:val="both"/>
      </w:pPr>
      <w:r>
        <w:object w:dxaOrig="9507" w:dyaOrig="5833" w14:anchorId="25E252E5">
          <v:shape id="_x0000_i1028" type="#_x0000_t75" style="width:453.95pt;height:295.45pt" o:ole="">
            <v:imagedata r:id="rId31" o:title=""/>
          </v:shape>
          <o:OLEObject Type="Embed" ProgID="Excel.Sheet.12" ShapeID="_x0000_i1028" DrawAspect="Content" ObjectID="_1666518690" r:id="rId32"/>
        </w:object>
      </w:r>
    </w:p>
    <w:p w14:paraId="0CDCC4FB" w14:textId="77777777" w:rsidR="00026264" w:rsidRDefault="00026264" w:rsidP="00026264">
      <w:pPr>
        <w:jc w:val="both"/>
      </w:pPr>
      <w:r>
        <w:t xml:space="preserve">Zaprezentowana punktacja dobrze oddaje proporcję między województwami w każdej z siedmiu kategorii (porównywalność wyników w kolumnach), co oznacza, że proporcja przyznanych punktów za dany wskaźnik odpowiada proporcji tego wskaźnika między regionami. Na przykład województwo śląskie, jako najbardziej ludne otrzymało w kategorii ludność 100 punków. Pozostałe otrzymały punkty proporcjonalnie do swojego stanu ludności, zatem na podstawie przyznanych punków można porównywać ludność województw. </w:t>
      </w:r>
    </w:p>
    <w:p w14:paraId="0C7D7F0B" w14:textId="77777777" w:rsidR="00026264" w:rsidRDefault="00026264" w:rsidP="00026264">
      <w:pPr>
        <w:jc w:val="both"/>
      </w:pPr>
      <w:r>
        <w:t>Niestety ze względu na różną wariancję</w:t>
      </w:r>
      <w:r>
        <w:rPr>
          <w:rStyle w:val="Odwoanieprzypisudolnego"/>
        </w:rPr>
        <w:footnoteReference w:id="19"/>
      </w:r>
      <w:r>
        <w:t xml:space="preserve"> (zmienność) poszczególnych wskaźników, słabiej zróżnicowane są trudno porównywalne z bardziej zróżnicowanymi. Dobrze widać to na przykładzie punktów za CP2 oraz CP4. Ten drugi wskaźnik, ze względu na mniejsze zróżnicowanie daje wyższe wyniki (suma pkt za CP4 wynosi 1406 i stanowi 19,5% punktów za wszystkie wskaźniki), podczas gdy CP2 daje stosunkowo niskie wyniki, ze względu na wyraźnie dominującą pozycję województwa śląskiego (suma pkt za CP2 wynosi 467 i stanowi zaledwie 6,5% punktów za wszystkie wskaźniki). </w:t>
      </w:r>
    </w:p>
    <w:p w14:paraId="457F82C4" w14:textId="77777777" w:rsidR="00026264" w:rsidRDefault="00026264" w:rsidP="00026264">
      <w:pPr>
        <w:jc w:val="both"/>
      </w:pPr>
      <w:r>
        <w:t>Aby rozwiązać ten problem zastosowano drugą standaryzację, mającą wyrównać wagi wszystkich wskaźników. Dostosowano je proporcjonalnie, w taki sposób, aby suma punktów za każdy wskaźnik była jednakowa,</w:t>
      </w:r>
      <w:r w:rsidRPr="005D1FF9">
        <w:t xml:space="preserve"> </w:t>
      </w:r>
      <w:r>
        <w:t>zachowując przy tym relację między wynikami poszczególnych województw (porównywalność w wierszach i kolumnach). Wyniki przedstawia poniższa tabela.</w:t>
      </w:r>
    </w:p>
    <w:bookmarkStart w:id="18" w:name="_MON_1631710999"/>
    <w:bookmarkEnd w:id="18"/>
    <w:p w14:paraId="47C874C4" w14:textId="77777777" w:rsidR="00026264" w:rsidRDefault="00026264" w:rsidP="00026264">
      <w:pPr>
        <w:jc w:val="both"/>
      </w:pPr>
      <w:r>
        <w:object w:dxaOrig="9507" w:dyaOrig="5833" w14:anchorId="7692F15B">
          <v:shape id="_x0000_i1029" type="#_x0000_t75" style="width:453.95pt;height:295.45pt" o:ole="">
            <v:imagedata r:id="rId33" o:title=""/>
          </v:shape>
          <o:OLEObject Type="Embed" ProgID="Excel.Sheet.12" ShapeID="_x0000_i1029" DrawAspect="Content" ObjectID="_1666518691" r:id="rId34"/>
        </w:object>
      </w:r>
    </w:p>
    <w:p w14:paraId="70345BB1" w14:textId="77777777" w:rsidR="00026264" w:rsidRPr="00B262BE" w:rsidRDefault="00026264" w:rsidP="00B262BE">
      <w:pPr>
        <w:rPr>
          <w:rFonts w:asciiTheme="majorHAnsi" w:hAnsiTheme="majorHAnsi" w:cstheme="majorHAnsi"/>
          <w:color w:val="0070C0"/>
          <w:sz w:val="24"/>
        </w:rPr>
      </w:pPr>
      <w:bookmarkStart w:id="19" w:name="_Toc47710507"/>
      <w:r w:rsidRPr="00B262BE">
        <w:rPr>
          <w:rFonts w:asciiTheme="majorHAnsi" w:hAnsiTheme="majorHAnsi" w:cstheme="majorHAnsi"/>
          <w:color w:val="0070C0"/>
          <w:sz w:val="24"/>
        </w:rPr>
        <w:t>Etap ostatni: wyliczenie kwot na RPO</w:t>
      </w:r>
      <w:bookmarkEnd w:id="19"/>
    </w:p>
    <w:p w14:paraId="23AE82FF" w14:textId="77777777" w:rsidR="00026264" w:rsidRDefault="00026264" w:rsidP="00026264">
      <w:pPr>
        <w:jc w:val="both"/>
      </w:pPr>
      <w:r>
        <w:t>W tym etapie następuje przeliczenie punktów uzyskanych w wyniku obliczeń wykonanych w poprzednich etapach. Stosowany jest wzór:</w:t>
      </w:r>
    </w:p>
    <w:p w14:paraId="78E4477A" w14:textId="77777777" w:rsidR="00026264" w:rsidRPr="00183B4B" w:rsidRDefault="00026264" w:rsidP="00026264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wynik=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ludność*PKBpc*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CP</m:t>
                  </m:r>
                </m:e>
              </m:nary>
            </m:num>
            <m:den>
              <m:r>
                <w:rPr>
                  <w:rFonts w:ascii="Cambria Math" w:hAnsi="Cambria Math"/>
                </w:rPr>
                <m:t>1000</m:t>
              </m:r>
            </m:den>
          </m:f>
        </m:oMath>
      </m:oMathPara>
    </w:p>
    <w:p w14:paraId="6897012A" w14:textId="77777777" w:rsidR="00026264" w:rsidRDefault="00026264" w:rsidP="00026264">
      <w:pPr>
        <w:jc w:val="both"/>
        <w:rPr>
          <w:rFonts w:eastAsiaTheme="minorEastAsia"/>
        </w:rPr>
      </w:pPr>
      <w:r>
        <w:rPr>
          <w:rFonts w:eastAsiaTheme="minorEastAsia"/>
        </w:rPr>
        <w:t>Oznacza on, że w pierwszej kolejności sumowane są punkty za pięć celów polityki, a następnie ta suma przemnażana jest przez punkty za ludność i za PKB na mieszkańca. W ten sposób większe znaczenie dla wyniku ma liczba mieszkańców i zamożność. Najczęściej suma punków za CP (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CP</m:t>
            </m:r>
          </m:e>
        </m:nary>
      </m:oMath>
      <w:r>
        <w:rPr>
          <w:rFonts w:eastAsiaTheme="minorEastAsia"/>
        </w:rPr>
        <w:t>) będzie większa od liczby punktów przyznanych za ludność lub PKB pc. Zatem z podanego wzoru wynika, że zwiększenie liczby punktów za ludność lub PKB pc o jedną jednostkę skutkuje większym przyrostem ostatecznego wyniku, niż gdyby zwiększono o jedną jednostkę liczbę punktów za któryś z celów polityki. Dzielenie przez 1000 ma na celu ułatwienie odczytania wyniku.</w:t>
      </w:r>
    </w:p>
    <w:p w14:paraId="04148D31" w14:textId="77777777" w:rsidR="00026264" w:rsidRPr="00AF3120" w:rsidRDefault="00026264" w:rsidP="00026264">
      <w:pPr>
        <w:jc w:val="both"/>
      </w:pPr>
      <w:r>
        <w:rPr>
          <w:rFonts w:eastAsiaTheme="minorEastAsia"/>
        </w:rPr>
        <w:t xml:space="preserve">Ostatnim krokiem algorytmu jest wyznaczenie udziału liczby punktów poszczególnych regionów w sumie wszystkich punktów (przeliczenie na procenty). Otrzymany w ten sposób procent odpowiada procentowi sumy środków przeznaczonych na RPO, jakie otrzyma dany region. </w:t>
      </w:r>
    </w:p>
    <w:p w14:paraId="2379379E" w14:textId="77777777" w:rsidR="0028741C" w:rsidRDefault="0028741C" w:rsidP="00026264">
      <w:pPr>
        <w:spacing w:after="120"/>
        <w:jc w:val="both"/>
      </w:pPr>
    </w:p>
    <w:sectPr w:rsidR="0028741C" w:rsidSect="00466B98">
      <w:headerReference w:type="even" r:id="rId35"/>
      <w:headerReference w:type="default" r:id="rId36"/>
      <w:headerReference w:type="first" r:id="rId3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BA032" w14:textId="77777777" w:rsidR="00216FF6" w:rsidRDefault="00216FF6" w:rsidP="00E20408">
      <w:pPr>
        <w:spacing w:after="0" w:line="240" w:lineRule="auto"/>
      </w:pPr>
      <w:r>
        <w:separator/>
      </w:r>
    </w:p>
  </w:endnote>
  <w:endnote w:type="continuationSeparator" w:id="0">
    <w:p w14:paraId="0BB2783E" w14:textId="77777777" w:rsidR="00216FF6" w:rsidRDefault="00216FF6" w:rsidP="00E2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 Medium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5055692"/>
      <w:docPartObj>
        <w:docPartGallery w:val="Page Numbers (Bottom of Page)"/>
        <w:docPartUnique/>
      </w:docPartObj>
    </w:sdtPr>
    <w:sdtEndPr/>
    <w:sdtContent>
      <w:sdt>
        <w:sdtPr>
          <w:id w:val="1848906416"/>
          <w:docPartObj>
            <w:docPartGallery w:val="Page Numbers (Top of Page)"/>
            <w:docPartUnique/>
          </w:docPartObj>
        </w:sdtPr>
        <w:sdtEndPr/>
        <w:sdtContent>
          <w:p w14:paraId="53C7035D" w14:textId="77777777" w:rsidR="00216FF6" w:rsidRDefault="00216FF6" w:rsidP="006525D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D8EC8A" w14:textId="77777777" w:rsidR="00216FF6" w:rsidRPr="006525D2" w:rsidRDefault="00216FF6" w:rsidP="00652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024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0ECF1E" w14:textId="68652E3C" w:rsidR="00216FF6" w:rsidRDefault="00216F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DC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DC6"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2C6EF7" w14:textId="77777777" w:rsidR="00216FF6" w:rsidRDefault="00216FF6" w:rsidP="006525D2">
    <w:pPr>
      <w:pStyle w:val="Stopka"/>
      <w:tabs>
        <w:tab w:val="clear" w:pos="4536"/>
        <w:tab w:val="clear" w:pos="9072"/>
        <w:tab w:val="left" w:pos="211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747733"/>
      <w:docPartObj>
        <w:docPartGallery w:val="Page Numbers (Bottom of Page)"/>
        <w:docPartUnique/>
      </w:docPartObj>
    </w:sdtPr>
    <w:sdtEndPr/>
    <w:sdtContent>
      <w:sdt>
        <w:sdtPr>
          <w:id w:val="1622337706"/>
          <w:docPartObj>
            <w:docPartGallery w:val="Page Numbers (Top of Page)"/>
            <w:docPartUnique/>
          </w:docPartObj>
        </w:sdtPr>
        <w:sdtEndPr/>
        <w:sdtContent>
          <w:p w14:paraId="0BC8614F" w14:textId="4C5A7094" w:rsidR="00216FF6" w:rsidRDefault="00216FF6" w:rsidP="006525D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D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DC6"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49C2E8" w14:textId="77777777" w:rsidR="00216FF6" w:rsidRDefault="00216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41EDC" w14:textId="77777777" w:rsidR="00216FF6" w:rsidRDefault="00216FF6" w:rsidP="00E20408">
      <w:pPr>
        <w:spacing w:after="0" w:line="240" w:lineRule="auto"/>
      </w:pPr>
      <w:r>
        <w:separator/>
      </w:r>
    </w:p>
  </w:footnote>
  <w:footnote w:type="continuationSeparator" w:id="0">
    <w:p w14:paraId="18E00D55" w14:textId="77777777" w:rsidR="00216FF6" w:rsidRDefault="00216FF6" w:rsidP="00E20408">
      <w:pPr>
        <w:spacing w:after="0" w:line="240" w:lineRule="auto"/>
      </w:pPr>
      <w:r>
        <w:continuationSeparator/>
      </w:r>
    </w:p>
  </w:footnote>
  <w:footnote w:id="1">
    <w:p w14:paraId="7D7EF483" w14:textId="77777777" w:rsidR="00216FF6" w:rsidRPr="0087091C" w:rsidRDefault="00216FF6">
      <w:pPr>
        <w:pStyle w:val="Tekstprzypisudolnego"/>
        <w:rPr>
          <w:sz w:val="16"/>
          <w:szCs w:val="16"/>
        </w:rPr>
      </w:pPr>
      <w:r w:rsidRPr="0087091C">
        <w:rPr>
          <w:rStyle w:val="Odwoanieprzypisudolnego"/>
          <w:sz w:val="16"/>
          <w:szCs w:val="16"/>
        </w:rPr>
        <w:footnoteRef/>
      </w:r>
      <w:r w:rsidRPr="0087091C">
        <w:rPr>
          <w:sz w:val="16"/>
          <w:szCs w:val="16"/>
        </w:rPr>
        <w:t xml:space="preserve"> Wszystkie kwoty i obliczenia zawarte w materiale prezentowane są w cenach stałych 2018 r. </w:t>
      </w:r>
    </w:p>
  </w:footnote>
  <w:footnote w:id="2">
    <w:p w14:paraId="0A774340" w14:textId="6B0D21E3" w:rsidR="00216FF6" w:rsidRPr="0094576E" w:rsidRDefault="00216FF6" w:rsidP="002E70A7">
      <w:pPr>
        <w:pStyle w:val="Tekstprzypisudolnego"/>
        <w:jc w:val="both"/>
        <w:rPr>
          <w:rFonts w:cstheme="minorHAnsi"/>
          <w:sz w:val="16"/>
          <w:szCs w:val="16"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94576E">
        <w:rPr>
          <w:rFonts w:cstheme="minorHAnsi"/>
          <w:sz w:val="16"/>
          <w:szCs w:val="16"/>
        </w:rPr>
        <w:t xml:space="preserve">Państwa członkowskie będą miały </w:t>
      </w:r>
      <w:r w:rsidRPr="0094576E">
        <w:rPr>
          <w:rFonts w:cstheme="minorHAnsi"/>
          <w:sz w:val="16"/>
          <w:szCs w:val="16"/>
          <w:u w:val="single"/>
        </w:rPr>
        <w:t>możliwość wyboru poziomu (kraj lub region)</w:t>
      </w:r>
      <w:r w:rsidRPr="0094576E">
        <w:rPr>
          <w:rFonts w:cstheme="minorHAnsi"/>
          <w:sz w:val="16"/>
          <w:szCs w:val="16"/>
        </w:rPr>
        <w:t xml:space="preserve">, na którym liczona będzie koncentracja tematyczna dla środków EFRR. W przypadku wyboru poziomu regionalnego, wysokość koncentracji tematycznej będzie ustalana odrębnie dla każdej z kategorii regionów. W przypadku wskazania poziomu krajowego, zastosowany zostanie jeden poziom dla całej alokacji EFRR, co zwiększa elastyczność programowania, pozostawiając większą pulę dostępnych środków „poza koncentracją”. </w:t>
      </w:r>
      <w:r w:rsidRPr="0094576E">
        <w:rPr>
          <w:rFonts w:cstheme="minorHAnsi"/>
          <w:sz w:val="16"/>
          <w:szCs w:val="16"/>
          <w:u w:val="single"/>
        </w:rPr>
        <w:t>Z tego względu w ninie</w:t>
      </w:r>
      <w:r>
        <w:rPr>
          <w:rFonts w:cstheme="minorHAnsi"/>
          <w:sz w:val="16"/>
          <w:szCs w:val="16"/>
          <w:u w:val="single"/>
        </w:rPr>
        <w:t>jszym materiale analizie poddano</w:t>
      </w:r>
      <w:r w:rsidRPr="0094576E">
        <w:rPr>
          <w:rFonts w:cstheme="minorHAnsi"/>
          <w:sz w:val="16"/>
          <w:szCs w:val="16"/>
          <w:u w:val="single"/>
        </w:rPr>
        <w:t xml:space="preserve"> wariant krajowy koncentracji tematycznej. </w:t>
      </w:r>
    </w:p>
  </w:footnote>
  <w:footnote w:id="3">
    <w:p w14:paraId="1C5B92E4" w14:textId="77777777" w:rsidR="00216FF6" w:rsidRPr="0087091C" w:rsidRDefault="00216FF6" w:rsidP="00C00457">
      <w:pPr>
        <w:pStyle w:val="Tekstprzypisudolnego"/>
        <w:rPr>
          <w:rFonts w:cstheme="minorHAnsi"/>
          <w:sz w:val="16"/>
          <w:szCs w:val="16"/>
        </w:rPr>
      </w:pPr>
      <w:r w:rsidRPr="0087091C">
        <w:rPr>
          <w:rStyle w:val="Odwoanieprzypisudolnego"/>
          <w:sz w:val="16"/>
          <w:szCs w:val="16"/>
        </w:rPr>
        <w:footnoteRef/>
      </w:r>
      <w:r w:rsidRPr="0087091C">
        <w:rPr>
          <w:rFonts w:cstheme="minorHAnsi"/>
          <w:sz w:val="16"/>
          <w:szCs w:val="16"/>
        </w:rPr>
        <w:t xml:space="preserve"> COM(2018)375.</w:t>
      </w:r>
    </w:p>
  </w:footnote>
  <w:footnote w:id="4">
    <w:p w14:paraId="001F07DA" w14:textId="77777777" w:rsidR="00216FF6" w:rsidRDefault="00216FF6">
      <w:pPr>
        <w:pStyle w:val="Tekstprzypisudolnego"/>
      </w:pPr>
      <w:r>
        <w:rPr>
          <w:rStyle w:val="Odwoanieprzypisudolnego"/>
        </w:rPr>
        <w:footnoteRef/>
      </w:r>
      <w:r>
        <w:t xml:space="preserve"> Przeliczenie cen bieżących na stałe 2018 r. wg szacunków DSR.</w:t>
      </w:r>
    </w:p>
  </w:footnote>
  <w:footnote w:id="5">
    <w:p w14:paraId="0783C5DD" w14:textId="09BB9F4B" w:rsidR="00216FF6" w:rsidRDefault="00216FF6">
      <w:pPr>
        <w:pStyle w:val="Tekstprzypisudolnego"/>
      </w:pPr>
      <w:r>
        <w:rPr>
          <w:rStyle w:val="Odwoanieprzypisudolnego"/>
        </w:rPr>
        <w:footnoteRef/>
      </w:r>
      <w:r>
        <w:t xml:space="preserve"> Zawiera prognozę za rok 2018 r. z powodu braków danych.</w:t>
      </w:r>
    </w:p>
  </w:footnote>
  <w:footnote w:id="6">
    <w:p w14:paraId="24949FB5" w14:textId="77777777" w:rsidR="00216FF6" w:rsidRPr="0087091C" w:rsidRDefault="00216FF6" w:rsidP="00026264">
      <w:pPr>
        <w:pStyle w:val="Tekstprzypisudolnego"/>
        <w:rPr>
          <w:sz w:val="16"/>
          <w:szCs w:val="16"/>
        </w:rPr>
      </w:pPr>
      <w:r w:rsidRPr="0087091C">
        <w:rPr>
          <w:rStyle w:val="Odwoanieprzypisudolnego"/>
          <w:sz w:val="16"/>
          <w:szCs w:val="16"/>
        </w:rPr>
        <w:footnoteRef/>
      </w:r>
      <w:r w:rsidRPr="0087091C">
        <w:rPr>
          <w:sz w:val="16"/>
          <w:szCs w:val="16"/>
        </w:rPr>
        <w:t xml:space="preserve"> Szczegóły znajdują się w rozdziale „Podział środków Funduszu Sprawiedliwej Transformacji”</w:t>
      </w:r>
    </w:p>
  </w:footnote>
  <w:footnote w:id="7">
    <w:p w14:paraId="74BFA9B5" w14:textId="77777777" w:rsidR="00216FF6" w:rsidRPr="0087091C" w:rsidRDefault="00216FF6" w:rsidP="00026264">
      <w:pPr>
        <w:pStyle w:val="Tekstprzypisudolnego"/>
        <w:rPr>
          <w:sz w:val="16"/>
          <w:szCs w:val="16"/>
        </w:rPr>
      </w:pPr>
      <w:r w:rsidRPr="0087091C">
        <w:rPr>
          <w:rStyle w:val="Odwoanieprzypisudolnego"/>
          <w:sz w:val="16"/>
          <w:szCs w:val="16"/>
        </w:rPr>
        <w:footnoteRef/>
      </w:r>
      <w:r w:rsidRPr="0087091C">
        <w:rPr>
          <w:sz w:val="16"/>
          <w:szCs w:val="16"/>
        </w:rPr>
        <w:t xml:space="preserve"> Wszystkie kwoty, w szczególności te w ramach Polski Wschodniej przeliczono na ceny stałe 2018 r., aby zachować porównywalność. </w:t>
      </w:r>
    </w:p>
  </w:footnote>
  <w:footnote w:id="8">
    <w:p w14:paraId="77DE857A" w14:textId="77777777" w:rsidR="00216FF6" w:rsidRPr="0087091C" w:rsidRDefault="00216FF6">
      <w:pPr>
        <w:pStyle w:val="Tekstprzypisudolnego"/>
        <w:rPr>
          <w:sz w:val="16"/>
          <w:szCs w:val="16"/>
        </w:rPr>
      </w:pPr>
      <w:r w:rsidRPr="0087091C">
        <w:rPr>
          <w:rStyle w:val="Odwoanieprzypisudolnego"/>
          <w:sz w:val="16"/>
          <w:szCs w:val="16"/>
        </w:rPr>
        <w:footnoteRef/>
      </w:r>
      <w:r w:rsidRPr="0087091C">
        <w:rPr>
          <w:sz w:val="16"/>
          <w:szCs w:val="16"/>
        </w:rPr>
        <w:t xml:space="preserve"> Kwoty dla perspektywy 2021-27 podane są w cenach stałych 2018 r., zgodnie z danymi przedstawionymi przez KE. Dane dla perspektywy 2014-2020 zostały przeliczone na ceny stałe 2018 r. dla zapewnienia poprawności metodologicznej i pełnej porównywalności danych.</w:t>
      </w:r>
    </w:p>
  </w:footnote>
  <w:footnote w:id="9">
    <w:p w14:paraId="2EB39BEC" w14:textId="77777777" w:rsidR="00216FF6" w:rsidRPr="0087091C" w:rsidRDefault="00216FF6">
      <w:pPr>
        <w:pStyle w:val="Tekstprzypisudolnego"/>
        <w:rPr>
          <w:sz w:val="16"/>
          <w:szCs w:val="16"/>
        </w:rPr>
      </w:pPr>
      <w:r w:rsidRPr="0087091C">
        <w:rPr>
          <w:rStyle w:val="Odwoanieprzypisudolnego"/>
          <w:sz w:val="16"/>
          <w:szCs w:val="16"/>
        </w:rPr>
        <w:footnoteRef/>
      </w:r>
      <w:r w:rsidRPr="0087091C">
        <w:rPr>
          <w:sz w:val="16"/>
          <w:szCs w:val="16"/>
        </w:rPr>
        <w:t xml:space="preserve"> Kwoty dla perspektywy 2021-27 podane są w cenach stałych 2018 r., zgodnie z danymi przedstawionymi przez KE. Dane dla perspektyw 2014-2020 i 2007-2013 zostały przeliczone na ceny stałe 2018 r. dla zapewnienia poprawności metodologicznej i pełnej porównywalności danych.</w:t>
      </w:r>
    </w:p>
  </w:footnote>
  <w:footnote w:id="10">
    <w:p w14:paraId="3B71774A" w14:textId="77777777" w:rsidR="00216FF6" w:rsidRPr="00E207C4" w:rsidRDefault="00216FF6" w:rsidP="00673D51">
      <w:pPr>
        <w:pStyle w:val="Tekstprzypisudolnego"/>
        <w:jc w:val="both"/>
        <w:rPr>
          <w:sz w:val="16"/>
          <w:szCs w:val="16"/>
        </w:rPr>
      </w:pPr>
      <w:r w:rsidRPr="00E207C4">
        <w:rPr>
          <w:rStyle w:val="Odwoanieprzypisudolnego"/>
          <w:sz w:val="16"/>
          <w:szCs w:val="16"/>
        </w:rPr>
        <w:footnoteRef/>
      </w:r>
      <w:r w:rsidRPr="00E207C4">
        <w:rPr>
          <w:sz w:val="16"/>
          <w:szCs w:val="16"/>
        </w:rPr>
        <w:t xml:space="preserve"> Ten wskaźnik dostępny jest wyłącznie na poziomie NUTS 2. W przypadku woj. śląskiego rozszacowano zatrudnionych w górnictwie między regiony NUTS 3 wg proporcji zatrudnienia w przemyśle.</w:t>
      </w:r>
    </w:p>
  </w:footnote>
  <w:footnote w:id="11">
    <w:p w14:paraId="0AFA2176" w14:textId="77777777" w:rsidR="00216FF6" w:rsidRPr="00E207C4" w:rsidRDefault="00216FF6" w:rsidP="00673D51">
      <w:pPr>
        <w:pStyle w:val="Tekstprzypisudolnego"/>
        <w:jc w:val="both"/>
        <w:rPr>
          <w:sz w:val="16"/>
          <w:szCs w:val="16"/>
        </w:rPr>
      </w:pPr>
      <w:r w:rsidRPr="00E207C4">
        <w:rPr>
          <w:rStyle w:val="Odwoanieprzypisudolnego"/>
          <w:sz w:val="16"/>
          <w:szCs w:val="16"/>
        </w:rPr>
        <w:footnoteRef/>
      </w:r>
      <w:r w:rsidRPr="00E207C4">
        <w:rPr>
          <w:sz w:val="16"/>
          <w:szCs w:val="16"/>
        </w:rPr>
        <w:t xml:space="preserve"> Temu wskaźnikowi nadawana jest wartość ujemna (wartość wskaźnika jest przemnażana przez -1), zgodnie z założeniem, że podregiony, w których powstaje najwięcej nowych przedsiębiorstw potrzebują niższego wsparcia niż podregiony, w których powstaje mniej nowych przedsiębiorstw. Wagi są przeliczane tak, aby ich suma wynosiła 100%.</w:t>
      </w:r>
    </w:p>
  </w:footnote>
  <w:footnote w:id="12">
    <w:p w14:paraId="38E25B99" w14:textId="77777777" w:rsidR="00216FF6" w:rsidRPr="00BE0AFD" w:rsidRDefault="00216FF6" w:rsidP="00600C81">
      <w:pPr>
        <w:pStyle w:val="Tekstprzypisudolnego"/>
        <w:jc w:val="both"/>
        <w:rPr>
          <w:rFonts w:cstheme="minorHAnsi"/>
          <w:sz w:val="16"/>
          <w:szCs w:val="16"/>
        </w:rPr>
      </w:pPr>
      <w:r w:rsidRPr="00BE0AFD">
        <w:rPr>
          <w:rStyle w:val="Odwoanieprzypisudolnego"/>
          <w:rFonts w:cstheme="minorHAnsi"/>
          <w:sz w:val="16"/>
          <w:szCs w:val="16"/>
        </w:rPr>
        <w:footnoteRef/>
      </w:r>
      <w:r w:rsidRPr="00BE0AFD">
        <w:rPr>
          <w:rFonts w:cstheme="minorHAnsi"/>
          <w:sz w:val="16"/>
          <w:szCs w:val="16"/>
        </w:rPr>
        <w:t xml:space="preserve"> </w:t>
      </w:r>
      <w:r w:rsidRPr="00BE0AFD">
        <w:rPr>
          <w:rFonts w:cstheme="minorHAnsi"/>
          <w:spacing w:val="4"/>
          <w:sz w:val="16"/>
          <w:szCs w:val="16"/>
        </w:rPr>
        <w:t>Zgodnie z zasadą hierarchiczności budowy klasyfikacji NUTS, zmiana podziału na poziomie NUTS 2 pociąga za sobą konieczność odpowiednich dostosowań na poziomie NUTS 1 i NUTS 3.  W związku z tym nastąpiła zmiana podziału na poziomie NUTS 1 polegająca na utworzeniu nowej jednostki obejmującej całe województwo mazowieckie (liczba jednostek tego poziomu w Polsce wzrośnie z sześciu do siedmiu) oraz zmiany granic dwóch innych jednostek w dotychczasowych regionach centralnym i wschodnim. W rezultacie, region centralny NUTS 1 będzie obejmował woj. łódzkie i świętokrzyskie, a wschodni – podlaskie, lubelskie i podkarpackie. Zmiany dostosowawcze na poziomie NUTS 3 powodują zwiększenie ich liczby w Polsce z dotychczasowych siedemdziesięciu dwóch do siedemdziesięciu trzech. Jednocześnie zmianie ulegają nazwy dwóch poziomów NUTS w Polsce – poziom NUTS 1 będzie nazywał się „makroregiony” (dotychczasowa nazwa to „regiony”), natomiast poziom NUTS 2 będzie nosił nazwę „regiony” (dotychczasowa nazwa to „województwa”)</w:t>
      </w:r>
    </w:p>
  </w:footnote>
  <w:footnote w:id="13">
    <w:p w14:paraId="5EE0CB1B" w14:textId="77777777" w:rsidR="00216FF6" w:rsidRPr="0087091C" w:rsidRDefault="00216FF6" w:rsidP="00026264">
      <w:pPr>
        <w:pStyle w:val="Tekstprzypisudolnego"/>
        <w:jc w:val="both"/>
        <w:rPr>
          <w:sz w:val="16"/>
          <w:szCs w:val="16"/>
        </w:rPr>
      </w:pPr>
      <w:r w:rsidRPr="0087091C">
        <w:rPr>
          <w:rStyle w:val="Odwoanieprzypisudolnego"/>
          <w:sz w:val="16"/>
          <w:szCs w:val="16"/>
        </w:rPr>
        <w:footnoteRef/>
      </w:r>
      <w:r w:rsidRPr="0087091C">
        <w:rPr>
          <w:sz w:val="16"/>
          <w:szCs w:val="16"/>
        </w:rPr>
        <w:t xml:space="preserve"> PAN oszacowała wartości wskaźnika WMDT.</w:t>
      </w:r>
    </w:p>
  </w:footnote>
  <w:footnote w:id="14">
    <w:p w14:paraId="70DCB26F" w14:textId="77777777" w:rsidR="00216FF6" w:rsidRPr="0087091C" w:rsidRDefault="00216FF6" w:rsidP="00026264">
      <w:pPr>
        <w:pStyle w:val="Tekstprzypisudolnego"/>
        <w:jc w:val="both"/>
        <w:rPr>
          <w:sz w:val="16"/>
          <w:szCs w:val="16"/>
        </w:rPr>
      </w:pPr>
      <w:r w:rsidRPr="0087091C">
        <w:rPr>
          <w:rStyle w:val="Odwoanieprzypisudolnego"/>
          <w:sz w:val="16"/>
          <w:szCs w:val="16"/>
        </w:rPr>
        <w:footnoteRef/>
      </w:r>
      <w:r w:rsidRPr="0087091C">
        <w:rPr>
          <w:sz w:val="16"/>
          <w:szCs w:val="16"/>
        </w:rPr>
        <w:t xml:space="preserve"> Współczynnik zmienności definiowany jest jako stosunek odchylenia standardowego do średniej z próby. Jest względną miarą zróżnicowania cechy.</w:t>
      </w:r>
    </w:p>
  </w:footnote>
  <w:footnote w:id="15">
    <w:p w14:paraId="5DB62E2E" w14:textId="77777777" w:rsidR="00216FF6" w:rsidRPr="0087091C" w:rsidRDefault="00216FF6" w:rsidP="00026264">
      <w:pPr>
        <w:pStyle w:val="Tekstprzypisudolnego"/>
        <w:jc w:val="both"/>
        <w:rPr>
          <w:sz w:val="16"/>
          <w:szCs w:val="16"/>
        </w:rPr>
      </w:pPr>
      <w:r w:rsidRPr="0087091C">
        <w:rPr>
          <w:rStyle w:val="Odwoanieprzypisudolnego"/>
          <w:sz w:val="16"/>
          <w:szCs w:val="16"/>
        </w:rPr>
        <w:footnoteRef/>
      </w:r>
      <w:r w:rsidRPr="0087091C">
        <w:rPr>
          <w:sz w:val="16"/>
          <w:szCs w:val="16"/>
        </w:rPr>
        <w:t xml:space="preserve"> Lub krótszego okresu w przypadku braków danych. Co do zasady pr</w:t>
      </w:r>
      <w:r w:rsidRPr="0087091C">
        <w:rPr>
          <w:rStyle w:val="3oh-"/>
          <w:sz w:val="16"/>
          <w:szCs w:val="16"/>
        </w:rPr>
        <w:t>zyjęto, tam gdzie to było możliwe, pięcioletni okres referencyjny za lata 2014-2018. Wykorzystanie wartości z tak długiego okresu pozwoliło lepiej oddać regionalne uwarunkowania strukturalne, pomijając chwilowe wahania.</w:t>
      </w:r>
    </w:p>
  </w:footnote>
  <w:footnote w:id="16">
    <w:p w14:paraId="31167D3E" w14:textId="77777777" w:rsidR="00216FF6" w:rsidRPr="0087091C" w:rsidRDefault="00216FF6" w:rsidP="00026264">
      <w:pPr>
        <w:pStyle w:val="Tekstprzypisudolnego"/>
        <w:rPr>
          <w:sz w:val="16"/>
          <w:szCs w:val="16"/>
        </w:rPr>
      </w:pPr>
      <w:r w:rsidRPr="0087091C">
        <w:rPr>
          <w:rStyle w:val="Odwoanieprzypisudolnego"/>
          <w:sz w:val="16"/>
          <w:szCs w:val="16"/>
        </w:rPr>
        <w:footnoteRef/>
      </w:r>
      <w:r w:rsidRPr="0087091C">
        <w:rPr>
          <w:sz w:val="16"/>
          <w:szCs w:val="16"/>
        </w:rPr>
        <w:t xml:space="preserve"> Różnicy między największą i najmniejszą wartością.</w:t>
      </w:r>
    </w:p>
  </w:footnote>
  <w:footnote w:id="17">
    <w:p w14:paraId="46CF87E5" w14:textId="77777777" w:rsidR="00216FF6" w:rsidRPr="0087091C" w:rsidRDefault="00216FF6" w:rsidP="00026264">
      <w:pPr>
        <w:pStyle w:val="Tekstprzypisudolnego"/>
        <w:rPr>
          <w:sz w:val="16"/>
          <w:szCs w:val="16"/>
        </w:rPr>
      </w:pPr>
      <w:r w:rsidRPr="0087091C">
        <w:rPr>
          <w:rStyle w:val="Odwoanieprzypisudolnego"/>
          <w:sz w:val="16"/>
          <w:szCs w:val="16"/>
        </w:rPr>
        <w:footnoteRef/>
      </w:r>
      <w:r w:rsidRPr="0087091C">
        <w:rPr>
          <w:sz w:val="16"/>
          <w:szCs w:val="16"/>
        </w:rPr>
        <w:t xml:space="preserve"> Bez uwzględnienia na tym etapie regionu warszawskiego stołecznego </w:t>
      </w:r>
    </w:p>
  </w:footnote>
  <w:footnote w:id="18">
    <w:p w14:paraId="229D23E6" w14:textId="77777777" w:rsidR="00216FF6" w:rsidRPr="0087091C" w:rsidRDefault="00216FF6" w:rsidP="00026264">
      <w:pPr>
        <w:pStyle w:val="Tekstprzypisudolnego"/>
        <w:rPr>
          <w:sz w:val="16"/>
          <w:szCs w:val="16"/>
        </w:rPr>
      </w:pPr>
      <w:r w:rsidRPr="0087091C">
        <w:rPr>
          <w:rStyle w:val="Odwoanieprzypisudolnego"/>
          <w:sz w:val="16"/>
          <w:szCs w:val="16"/>
        </w:rPr>
        <w:footnoteRef/>
      </w:r>
      <w:r w:rsidRPr="0087091C">
        <w:rPr>
          <w:sz w:val="16"/>
          <w:szCs w:val="16"/>
        </w:rPr>
        <w:t xml:space="preserve"> Tabela zawiera poglądową punktację. Wyniki obliczeń zaprezentowane są w poprzednich częściach tego materiału. W tej części metoda obliczeń prezentowana jest na przykładowych danych.</w:t>
      </w:r>
    </w:p>
  </w:footnote>
  <w:footnote w:id="19">
    <w:p w14:paraId="017701E1" w14:textId="77777777" w:rsidR="00216FF6" w:rsidRPr="0087091C" w:rsidRDefault="00216FF6" w:rsidP="00026264">
      <w:pPr>
        <w:pStyle w:val="Tekstprzypisudolnego"/>
        <w:rPr>
          <w:sz w:val="16"/>
          <w:szCs w:val="16"/>
        </w:rPr>
      </w:pPr>
      <w:r w:rsidRPr="0087091C">
        <w:rPr>
          <w:rStyle w:val="Odwoanieprzypisudolnego"/>
          <w:sz w:val="16"/>
          <w:szCs w:val="16"/>
        </w:rPr>
        <w:footnoteRef/>
      </w:r>
      <w:r w:rsidRPr="0087091C">
        <w:rPr>
          <w:sz w:val="16"/>
          <w:szCs w:val="16"/>
        </w:rPr>
        <w:t xml:space="preserve"> Wariancja jest miarą zróżnicowania zbiorowości. Jest średnią arytmetyczną kwadratów odchyleń (różnic) poszczególnych wartości cechy od wartości oczekiwanej. Stanowi kwadrat odchylenia standardowego.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CF741" w14:textId="77777777" w:rsidR="00216FF6" w:rsidRPr="00DB5F72" w:rsidRDefault="00216FF6" w:rsidP="00DB5F72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E0393" w14:textId="77777777" w:rsidR="00216FF6" w:rsidRDefault="00216F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29E84" w14:textId="77777777" w:rsidR="00216FF6" w:rsidRDefault="00216F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0D5FB" w14:textId="77777777" w:rsidR="00216FF6" w:rsidRDefault="00216FF6" w:rsidP="007F538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F29A4" w14:textId="77777777" w:rsidR="00216FF6" w:rsidRDefault="00216FF6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95C41" w14:textId="77777777" w:rsidR="00216FF6" w:rsidRDefault="00216FF6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8572C" w14:textId="77777777" w:rsidR="00216FF6" w:rsidRDefault="00216FF6" w:rsidP="007F5381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57751" w14:textId="77777777" w:rsidR="00216FF6" w:rsidRDefault="00216FF6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82D87" w14:textId="77777777" w:rsidR="00216FF6" w:rsidRDefault="00216FF6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84FF6" w14:textId="77777777" w:rsidR="00216FF6" w:rsidRDefault="00216F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435D"/>
    <w:multiLevelType w:val="hybridMultilevel"/>
    <w:tmpl w:val="DB7A8D06"/>
    <w:lvl w:ilvl="0" w:tplc="B44A2776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3B7"/>
    <w:multiLevelType w:val="hybridMultilevel"/>
    <w:tmpl w:val="6FCC5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91E9E"/>
    <w:multiLevelType w:val="hybridMultilevel"/>
    <w:tmpl w:val="B3A8B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F6C38"/>
    <w:multiLevelType w:val="hybridMultilevel"/>
    <w:tmpl w:val="DA80DA4C"/>
    <w:lvl w:ilvl="0" w:tplc="1152F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12BB7"/>
    <w:multiLevelType w:val="hybridMultilevel"/>
    <w:tmpl w:val="E2F2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A3D7A"/>
    <w:multiLevelType w:val="hybridMultilevel"/>
    <w:tmpl w:val="5A909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2041"/>
    <w:multiLevelType w:val="hybridMultilevel"/>
    <w:tmpl w:val="26F02CDA"/>
    <w:lvl w:ilvl="0" w:tplc="E9C6173E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F8E0EBB"/>
    <w:multiLevelType w:val="hybridMultilevel"/>
    <w:tmpl w:val="2AA45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D7F79"/>
    <w:multiLevelType w:val="hybridMultilevel"/>
    <w:tmpl w:val="9DFC4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47B40"/>
    <w:multiLevelType w:val="hybridMultilevel"/>
    <w:tmpl w:val="B45E0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D6006"/>
    <w:multiLevelType w:val="hybridMultilevel"/>
    <w:tmpl w:val="FD5667CE"/>
    <w:lvl w:ilvl="0" w:tplc="61102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D3799"/>
    <w:multiLevelType w:val="hybridMultilevel"/>
    <w:tmpl w:val="FA16C93E"/>
    <w:lvl w:ilvl="0" w:tplc="87DA3BBC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 w15:restartNumberingAfterBreak="0">
    <w:nsid w:val="397C0E56"/>
    <w:multiLevelType w:val="hybridMultilevel"/>
    <w:tmpl w:val="6186D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50BB8"/>
    <w:multiLevelType w:val="hybridMultilevel"/>
    <w:tmpl w:val="A0F20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16247"/>
    <w:multiLevelType w:val="hybridMultilevel"/>
    <w:tmpl w:val="2F66D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D593B"/>
    <w:multiLevelType w:val="hybridMultilevel"/>
    <w:tmpl w:val="7F4E6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825D7"/>
    <w:multiLevelType w:val="hybridMultilevel"/>
    <w:tmpl w:val="DA80DA4C"/>
    <w:lvl w:ilvl="0" w:tplc="1152F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D1CDF"/>
    <w:multiLevelType w:val="hybridMultilevel"/>
    <w:tmpl w:val="69208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86D7D"/>
    <w:multiLevelType w:val="hybridMultilevel"/>
    <w:tmpl w:val="A504F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A6F50"/>
    <w:multiLevelType w:val="hybridMultilevel"/>
    <w:tmpl w:val="E68E74CA"/>
    <w:lvl w:ilvl="0" w:tplc="E2845E3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44F41"/>
    <w:multiLevelType w:val="hybridMultilevel"/>
    <w:tmpl w:val="70387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45076"/>
    <w:multiLevelType w:val="hybridMultilevel"/>
    <w:tmpl w:val="0D584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73577"/>
    <w:multiLevelType w:val="hybridMultilevel"/>
    <w:tmpl w:val="C6345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95B97"/>
    <w:multiLevelType w:val="hybridMultilevel"/>
    <w:tmpl w:val="B0FA19FE"/>
    <w:lvl w:ilvl="0" w:tplc="0BC8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F062B"/>
    <w:multiLevelType w:val="hybridMultilevel"/>
    <w:tmpl w:val="E17ABD90"/>
    <w:lvl w:ilvl="0" w:tplc="10DAB868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813B12"/>
    <w:multiLevelType w:val="hybridMultilevel"/>
    <w:tmpl w:val="A1583F70"/>
    <w:lvl w:ilvl="0" w:tplc="61102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E3936"/>
    <w:multiLevelType w:val="hybridMultilevel"/>
    <w:tmpl w:val="4D60AB36"/>
    <w:lvl w:ilvl="0" w:tplc="C5EC8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70F33"/>
    <w:multiLevelType w:val="hybridMultilevel"/>
    <w:tmpl w:val="894A4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424C2"/>
    <w:multiLevelType w:val="hybridMultilevel"/>
    <w:tmpl w:val="441A1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C6B87"/>
    <w:multiLevelType w:val="hybridMultilevel"/>
    <w:tmpl w:val="D7464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E102A"/>
    <w:multiLevelType w:val="hybridMultilevel"/>
    <w:tmpl w:val="4B9E4ED4"/>
    <w:lvl w:ilvl="0" w:tplc="F87AED0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A683A"/>
    <w:multiLevelType w:val="hybridMultilevel"/>
    <w:tmpl w:val="D2A0F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877EC"/>
    <w:multiLevelType w:val="hybridMultilevel"/>
    <w:tmpl w:val="C1080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131E6"/>
    <w:multiLevelType w:val="hybridMultilevel"/>
    <w:tmpl w:val="F6B2C3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6538"/>
    <w:multiLevelType w:val="hybridMultilevel"/>
    <w:tmpl w:val="BAD40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5"/>
  </w:num>
  <w:num w:numId="5">
    <w:abstractNumId w:val="20"/>
  </w:num>
  <w:num w:numId="6">
    <w:abstractNumId w:val="6"/>
  </w:num>
  <w:num w:numId="7">
    <w:abstractNumId w:val="25"/>
  </w:num>
  <w:num w:numId="8">
    <w:abstractNumId w:val="17"/>
  </w:num>
  <w:num w:numId="9">
    <w:abstractNumId w:val="28"/>
  </w:num>
  <w:num w:numId="10">
    <w:abstractNumId w:val="9"/>
  </w:num>
  <w:num w:numId="11">
    <w:abstractNumId w:val="2"/>
  </w:num>
  <w:num w:numId="12">
    <w:abstractNumId w:val="23"/>
  </w:num>
  <w:num w:numId="13">
    <w:abstractNumId w:val="34"/>
  </w:num>
  <w:num w:numId="14">
    <w:abstractNumId w:val="30"/>
  </w:num>
  <w:num w:numId="15">
    <w:abstractNumId w:val="24"/>
  </w:num>
  <w:num w:numId="16">
    <w:abstractNumId w:val="7"/>
  </w:num>
  <w:num w:numId="17">
    <w:abstractNumId w:val="18"/>
  </w:num>
  <w:num w:numId="18">
    <w:abstractNumId w:val="10"/>
  </w:num>
  <w:num w:numId="19">
    <w:abstractNumId w:val="26"/>
  </w:num>
  <w:num w:numId="20">
    <w:abstractNumId w:val="16"/>
  </w:num>
  <w:num w:numId="21">
    <w:abstractNumId w:val="21"/>
  </w:num>
  <w:num w:numId="22">
    <w:abstractNumId w:val="27"/>
  </w:num>
  <w:num w:numId="23">
    <w:abstractNumId w:val="12"/>
  </w:num>
  <w:num w:numId="24">
    <w:abstractNumId w:val="5"/>
  </w:num>
  <w:num w:numId="25">
    <w:abstractNumId w:val="0"/>
  </w:num>
  <w:num w:numId="26">
    <w:abstractNumId w:val="1"/>
  </w:num>
  <w:num w:numId="27">
    <w:abstractNumId w:val="33"/>
  </w:num>
  <w:num w:numId="28">
    <w:abstractNumId w:val="22"/>
  </w:num>
  <w:num w:numId="29">
    <w:abstractNumId w:val="32"/>
  </w:num>
  <w:num w:numId="30">
    <w:abstractNumId w:val="4"/>
  </w:num>
  <w:num w:numId="31">
    <w:abstractNumId w:val="31"/>
  </w:num>
  <w:num w:numId="32">
    <w:abstractNumId w:val="29"/>
  </w:num>
  <w:num w:numId="33">
    <w:abstractNumId w:val="19"/>
  </w:num>
  <w:num w:numId="34">
    <w:abstractNumId w:val="1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CE"/>
    <w:rsid w:val="00001136"/>
    <w:rsid w:val="000047CD"/>
    <w:rsid w:val="000126D9"/>
    <w:rsid w:val="000227DB"/>
    <w:rsid w:val="0002425C"/>
    <w:rsid w:val="00026264"/>
    <w:rsid w:val="00026C1E"/>
    <w:rsid w:val="0003132B"/>
    <w:rsid w:val="000359A8"/>
    <w:rsid w:val="00035BBF"/>
    <w:rsid w:val="00043FC0"/>
    <w:rsid w:val="00044213"/>
    <w:rsid w:val="0005133E"/>
    <w:rsid w:val="0006057F"/>
    <w:rsid w:val="000637B1"/>
    <w:rsid w:val="00064CB1"/>
    <w:rsid w:val="00070CB6"/>
    <w:rsid w:val="000717BA"/>
    <w:rsid w:val="00073548"/>
    <w:rsid w:val="000746BB"/>
    <w:rsid w:val="000878D5"/>
    <w:rsid w:val="00094344"/>
    <w:rsid w:val="00094951"/>
    <w:rsid w:val="00097C58"/>
    <w:rsid w:val="000A02A7"/>
    <w:rsid w:val="000A4FA1"/>
    <w:rsid w:val="000A535E"/>
    <w:rsid w:val="000B0727"/>
    <w:rsid w:val="000B13D0"/>
    <w:rsid w:val="000B748C"/>
    <w:rsid w:val="000C4824"/>
    <w:rsid w:val="000D0F79"/>
    <w:rsid w:val="000D45F7"/>
    <w:rsid w:val="000E11B8"/>
    <w:rsid w:val="000E1634"/>
    <w:rsid w:val="000F5C90"/>
    <w:rsid w:val="000F5CAB"/>
    <w:rsid w:val="000F5CEF"/>
    <w:rsid w:val="000F7D47"/>
    <w:rsid w:val="00101CC1"/>
    <w:rsid w:val="00102084"/>
    <w:rsid w:val="0010694B"/>
    <w:rsid w:val="00122711"/>
    <w:rsid w:val="00125AEF"/>
    <w:rsid w:val="00126D65"/>
    <w:rsid w:val="00127899"/>
    <w:rsid w:val="00131249"/>
    <w:rsid w:val="00131375"/>
    <w:rsid w:val="001318BA"/>
    <w:rsid w:val="00132AFF"/>
    <w:rsid w:val="001362B6"/>
    <w:rsid w:val="00137797"/>
    <w:rsid w:val="00152DA7"/>
    <w:rsid w:val="001551D8"/>
    <w:rsid w:val="00157CF9"/>
    <w:rsid w:val="00162DA6"/>
    <w:rsid w:val="00164F42"/>
    <w:rsid w:val="00166D05"/>
    <w:rsid w:val="00173AFC"/>
    <w:rsid w:val="00181341"/>
    <w:rsid w:val="00183B4B"/>
    <w:rsid w:val="00192DAE"/>
    <w:rsid w:val="001A2558"/>
    <w:rsid w:val="001A31CC"/>
    <w:rsid w:val="001A4FB7"/>
    <w:rsid w:val="001B1BA9"/>
    <w:rsid w:val="001B5A60"/>
    <w:rsid w:val="001B6058"/>
    <w:rsid w:val="001C23C5"/>
    <w:rsid w:val="001C487D"/>
    <w:rsid w:val="001C6B03"/>
    <w:rsid w:val="001C722E"/>
    <w:rsid w:val="001D3398"/>
    <w:rsid w:val="001D4F72"/>
    <w:rsid w:val="001D5972"/>
    <w:rsid w:val="001D621C"/>
    <w:rsid w:val="001E7458"/>
    <w:rsid w:val="0020391C"/>
    <w:rsid w:val="0021129D"/>
    <w:rsid w:val="00216FF6"/>
    <w:rsid w:val="002208BA"/>
    <w:rsid w:val="00221678"/>
    <w:rsid w:val="00230469"/>
    <w:rsid w:val="00234CEF"/>
    <w:rsid w:val="00235E53"/>
    <w:rsid w:val="00242BDB"/>
    <w:rsid w:val="002462D3"/>
    <w:rsid w:val="00246AB2"/>
    <w:rsid w:val="00252BB1"/>
    <w:rsid w:val="00253E9D"/>
    <w:rsid w:val="00262B50"/>
    <w:rsid w:val="00267E73"/>
    <w:rsid w:val="002709A3"/>
    <w:rsid w:val="002720D3"/>
    <w:rsid w:val="002744FF"/>
    <w:rsid w:val="00285014"/>
    <w:rsid w:val="0028741C"/>
    <w:rsid w:val="002875F4"/>
    <w:rsid w:val="0029368D"/>
    <w:rsid w:val="002A11E3"/>
    <w:rsid w:val="002A1E78"/>
    <w:rsid w:val="002A439F"/>
    <w:rsid w:val="002A63E3"/>
    <w:rsid w:val="002B3512"/>
    <w:rsid w:val="002B3F2A"/>
    <w:rsid w:val="002B6F20"/>
    <w:rsid w:val="002B75EB"/>
    <w:rsid w:val="002C20F7"/>
    <w:rsid w:val="002D0529"/>
    <w:rsid w:val="002D278B"/>
    <w:rsid w:val="002D4183"/>
    <w:rsid w:val="002D4824"/>
    <w:rsid w:val="002D4C28"/>
    <w:rsid w:val="002D4DCE"/>
    <w:rsid w:val="002E434C"/>
    <w:rsid w:val="002E70A7"/>
    <w:rsid w:val="002F070D"/>
    <w:rsid w:val="00302B7B"/>
    <w:rsid w:val="00306435"/>
    <w:rsid w:val="003079C4"/>
    <w:rsid w:val="0031154F"/>
    <w:rsid w:val="00313484"/>
    <w:rsid w:val="00313CA3"/>
    <w:rsid w:val="0031469C"/>
    <w:rsid w:val="00322864"/>
    <w:rsid w:val="003335F6"/>
    <w:rsid w:val="003353C7"/>
    <w:rsid w:val="00337414"/>
    <w:rsid w:val="003514E4"/>
    <w:rsid w:val="00364E6D"/>
    <w:rsid w:val="003705AA"/>
    <w:rsid w:val="00383123"/>
    <w:rsid w:val="00390057"/>
    <w:rsid w:val="00390A79"/>
    <w:rsid w:val="003A0B2A"/>
    <w:rsid w:val="003A251B"/>
    <w:rsid w:val="003A48CD"/>
    <w:rsid w:val="003B3E3F"/>
    <w:rsid w:val="003B569E"/>
    <w:rsid w:val="003C0FCD"/>
    <w:rsid w:val="003C2D17"/>
    <w:rsid w:val="003D2E53"/>
    <w:rsid w:val="003D7A40"/>
    <w:rsid w:val="003E128A"/>
    <w:rsid w:val="003E35B3"/>
    <w:rsid w:val="003F1607"/>
    <w:rsid w:val="003F2DC4"/>
    <w:rsid w:val="003F3E87"/>
    <w:rsid w:val="003F4844"/>
    <w:rsid w:val="003F64CA"/>
    <w:rsid w:val="00403077"/>
    <w:rsid w:val="00404B8E"/>
    <w:rsid w:val="00410BD4"/>
    <w:rsid w:val="00413E8E"/>
    <w:rsid w:val="00420660"/>
    <w:rsid w:val="004274EA"/>
    <w:rsid w:val="004339AD"/>
    <w:rsid w:val="0043435A"/>
    <w:rsid w:val="0043633F"/>
    <w:rsid w:val="00440225"/>
    <w:rsid w:val="004414CF"/>
    <w:rsid w:val="004462B0"/>
    <w:rsid w:val="00446365"/>
    <w:rsid w:val="00450426"/>
    <w:rsid w:val="00451FE7"/>
    <w:rsid w:val="004546B4"/>
    <w:rsid w:val="004566D4"/>
    <w:rsid w:val="00462BB0"/>
    <w:rsid w:val="00466B98"/>
    <w:rsid w:val="00474075"/>
    <w:rsid w:val="00483C83"/>
    <w:rsid w:val="00485BAE"/>
    <w:rsid w:val="004A0543"/>
    <w:rsid w:val="004A4F66"/>
    <w:rsid w:val="004B0F1B"/>
    <w:rsid w:val="004B24F9"/>
    <w:rsid w:val="004C3DE9"/>
    <w:rsid w:val="004C411D"/>
    <w:rsid w:val="004D43EF"/>
    <w:rsid w:val="004D5E40"/>
    <w:rsid w:val="004E5711"/>
    <w:rsid w:val="004E6C46"/>
    <w:rsid w:val="004F1BA1"/>
    <w:rsid w:val="004F5FDD"/>
    <w:rsid w:val="004F72FF"/>
    <w:rsid w:val="005011A7"/>
    <w:rsid w:val="005030C0"/>
    <w:rsid w:val="00505BC9"/>
    <w:rsid w:val="005160C6"/>
    <w:rsid w:val="0051613E"/>
    <w:rsid w:val="0052393E"/>
    <w:rsid w:val="00523F2A"/>
    <w:rsid w:val="005248DE"/>
    <w:rsid w:val="00526D1D"/>
    <w:rsid w:val="00527CFF"/>
    <w:rsid w:val="005362B7"/>
    <w:rsid w:val="005378AD"/>
    <w:rsid w:val="00541EA5"/>
    <w:rsid w:val="00542F3E"/>
    <w:rsid w:val="005449F6"/>
    <w:rsid w:val="005455D4"/>
    <w:rsid w:val="0055563A"/>
    <w:rsid w:val="0055567A"/>
    <w:rsid w:val="005570FF"/>
    <w:rsid w:val="00563A4F"/>
    <w:rsid w:val="00576464"/>
    <w:rsid w:val="00582B09"/>
    <w:rsid w:val="00584492"/>
    <w:rsid w:val="00584568"/>
    <w:rsid w:val="00593DA9"/>
    <w:rsid w:val="00596E6B"/>
    <w:rsid w:val="005A34BD"/>
    <w:rsid w:val="005A4D86"/>
    <w:rsid w:val="005A68F9"/>
    <w:rsid w:val="005C416C"/>
    <w:rsid w:val="005D08B8"/>
    <w:rsid w:val="005D1FF9"/>
    <w:rsid w:val="005D2440"/>
    <w:rsid w:val="005D55DF"/>
    <w:rsid w:val="005D6623"/>
    <w:rsid w:val="005D7732"/>
    <w:rsid w:val="005E1BC6"/>
    <w:rsid w:val="005E4DAC"/>
    <w:rsid w:val="005E6053"/>
    <w:rsid w:val="005F0DC6"/>
    <w:rsid w:val="00600C81"/>
    <w:rsid w:val="00600D5F"/>
    <w:rsid w:val="00606570"/>
    <w:rsid w:val="0061620E"/>
    <w:rsid w:val="006272B7"/>
    <w:rsid w:val="006300C9"/>
    <w:rsid w:val="00633068"/>
    <w:rsid w:val="00644FB9"/>
    <w:rsid w:val="006458A6"/>
    <w:rsid w:val="006525D2"/>
    <w:rsid w:val="00653ED6"/>
    <w:rsid w:val="00671347"/>
    <w:rsid w:val="00673D51"/>
    <w:rsid w:val="00676AF4"/>
    <w:rsid w:val="00681952"/>
    <w:rsid w:val="0068292E"/>
    <w:rsid w:val="006872E9"/>
    <w:rsid w:val="00687BEB"/>
    <w:rsid w:val="006967C8"/>
    <w:rsid w:val="006A238A"/>
    <w:rsid w:val="006A3B94"/>
    <w:rsid w:val="006A5B91"/>
    <w:rsid w:val="006B0A99"/>
    <w:rsid w:val="006B3397"/>
    <w:rsid w:val="006B5BBC"/>
    <w:rsid w:val="006B687C"/>
    <w:rsid w:val="006D5FB5"/>
    <w:rsid w:val="006D7742"/>
    <w:rsid w:val="006D7F35"/>
    <w:rsid w:val="006E0189"/>
    <w:rsid w:val="00701784"/>
    <w:rsid w:val="007022A5"/>
    <w:rsid w:val="00703EF4"/>
    <w:rsid w:val="0071116D"/>
    <w:rsid w:val="00721A24"/>
    <w:rsid w:val="00727AC5"/>
    <w:rsid w:val="007411DB"/>
    <w:rsid w:val="007508E8"/>
    <w:rsid w:val="00756A33"/>
    <w:rsid w:val="00757E4D"/>
    <w:rsid w:val="0076528D"/>
    <w:rsid w:val="007678E5"/>
    <w:rsid w:val="00767BD3"/>
    <w:rsid w:val="00767D30"/>
    <w:rsid w:val="00771497"/>
    <w:rsid w:val="00772E42"/>
    <w:rsid w:val="00774129"/>
    <w:rsid w:val="00782966"/>
    <w:rsid w:val="00786147"/>
    <w:rsid w:val="0079373E"/>
    <w:rsid w:val="007B266A"/>
    <w:rsid w:val="007B5F0C"/>
    <w:rsid w:val="007B62E9"/>
    <w:rsid w:val="007B6FCE"/>
    <w:rsid w:val="007C160F"/>
    <w:rsid w:val="007C4E8A"/>
    <w:rsid w:val="007C6D70"/>
    <w:rsid w:val="007C6E78"/>
    <w:rsid w:val="007D0835"/>
    <w:rsid w:val="007D3B93"/>
    <w:rsid w:val="007D3E43"/>
    <w:rsid w:val="007D6012"/>
    <w:rsid w:val="007E5913"/>
    <w:rsid w:val="007F4A21"/>
    <w:rsid w:val="007F5381"/>
    <w:rsid w:val="007F63F6"/>
    <w:rsid w:val="007F6819"/>
    <w:rsid w:val="00800B56"/>
    <w:rsid w:val="00802C11"/>
    <w:rsid w:val="00814F82"/>
    <w:rsid w:val="0082345F"/>
    <w:rsid w:val="00823970"/>
    <w:rsid w:val="0082411C"/>
    <w:rsid w:val="00824F3D"/>
    <w:rsid w:val="008261A0"/>
    <w:rsid w:val="00826753"/>
    <w:rsid w:val="00834087"/>
    <w:rsid w:val="00835AC5"/>
    <w:rsid w:val="00840599"/>
    <w:rsid w:val="0084146F"/>
    <w:rsid w:val="008453CB"/>
    <w:rsid w:val="00847A6D"/>
    <w:rsid w:val="00852C3B"/>
    <w:rsid w:val="008560AF"/>
    <w:rsid w:val="00856184"/>
    <w:rsid w:val="00860C62"/>
    <w:rsid w:val="00862741"/>
    <w:rsid w:val="0086428A"/>
    <w:rsid w:val="0087091C"/>
    <w:rsid w:val="00870B31"/>
    <w:rsid w:val="00881802"/>
    <w:rsid w:val="008919C5"/>
    <w:rsid w:val="0089326B"/>
    <w:rsid w:val="008A07D6"/>
    <w:rsid w:val="008A278F"/>
    <w:rsid w:val="008B14F1"/>
    <w:rsid w:val="008B1FB1"/>
    <w:rsid w:val="008B229D"/>
    <w:rsid w:val="008B7ECB"/>
    <w:rsid w:val="008D04F5"/>
    <w:rsid w:val="008D268E"/>
    <w:rsid w:val="008D46CB"/>
    <w:rsid w:val="008E633E"/>
    <w:rsid w:val="008E6D23"/>
    <w:rsid w:val="008F3252"/>
    <w:rsid w:val="008F4D09"/>
    <w:rsid w:val="00902590"/>
    <w:rsid w:val="009174BB"/>
    <w:rsid w:val="00930DB6"/>
    <w:rsid w:val="00931B14"/>
    <w:rsid w:val="009361EA"/>
    <w:rsid w:val="009416AC"/>
    <w:rsid w:val="00941F84"/>
    <w:rsid w:val="00944EA8"/>
    <w:rsid w:val="0094576E"/>
    <w:rsid w:val="00947389"/>
    <w:rsid w:val="009510DB"/>
    <w:rsid w:val="00957936"/>
    <w:rsid w:val="0098270D"/>
    <w:rsid w:val="0098512F"/>
    <w:rsid w:val="00994812"/>
    <w:rsid w:val="009A6237"/>
    <w:rsid w:val="009A76C6"/>
    <w:rsid w:val="009B0556"/>
    <w:rsid w:val="009B0A6F"/>
    <w:rsid w:val="009B3372"/>
    <w:rsid w:val="009C217F"/>
    <w:rsid w:val="009C4F37"/>
    <w:rsid w:val="009F52EF"/>
    <w:rsid w:val="00A00B0D"/>
    <w:rsid w:val="00A0351B"/>
    <w:rsid w:val="00A038A9"/>
    <w:rsid w:val="00A03F8C"/>
    <w:rsid w:val="00A10227"/>
    <w:rsid w:val="00A15CA2"/>
    <w:rsid w:val="00A16C0A"/>
    <w:rsid w:val="00A20200"/>
    <w:rsid w:val="00A209E4"/>
    <w:rsid w:val="00A3432A"/>
    <w:rsid w:val="00A36105"/>
    <w:rsid w:val="00A44A5B"/>
    <w:rsid w:val="00A475CD"/>
    <w:rsid w:val="00A6645C"/>
    <w:rsid w:val="00A7234D"/>
    <w:rsid w:val="00A73111"/>
    <w:rsid w:val="00A81A06"/>
    <w:rsid w:val="00A874C4"/>
    <w:rsid w:val="00A97817"/>
    <w:rsid w:val="00A979CF"/>
    <w:rsid w:val="00AB6463"/>
    <w:rsid w:val="00AC6AB5"/>
    <w:rsid w:val="00AC7539"/>
    <w:rsid w:val="00AD7DA0"/>
    <w:rsid w:val="00AE066D"/>
    <w:rsid w:val="00AE0D34"/>
    <w:rsid w:val="00AE5DDD"/>
    <w:rsid w:val="00AF1BC2"/>
    <w:rsid w:val="00AF732C"/>
    <w:rsid w:val="00B12B7A"/>
    <w:rsid w:val="00B13A16"/>
    <w:rsid w:val="00B13A83"/>
    <w:rsid w:val="00B14F17"/>
    <w:rsid w:val="00B155AA"/>
    <w:rsid w:val="00B20F6F"/>
    <w:rsid w:val="00B22613"/>
    <w:rsid w:val="00B241E9"/>
    <w:rsid w:val="00B262BE"/>
    <w:rsid w:val="00B317C3"/>
    <w:rsid w:val="00B53957"/>
    <w:rsid w:val="00B61753"/>
    <w:rsid w:val="00B6210F"/>
    <w:rsid w:val="00B65EEE"/>
    <w:rsid w:val="00B67949"/>
    <w:rsid w:val="00B73D59"/>
    <w:rsid w:val="00B7456C"/>
    <w:rsid w:val="00B91554"/>
    <w:rsid w:val="00B962F6"/>
    <w:rsid w:val="00BC19A4"/>
    <w:rsid w:val="00BC3490"/>
    <w:rsid w:val="00BC55ED"/>
    <w:rsid w:val="00BC588E"/>
    <w:rsid w:val="00BC7445"/>
    <w:rsid w:val="00BC7E68"/>
    <w:rsid w:val="00BD5855"/>
    <w:rsid w:val="00BD7FEF"/>
    <w:rsid w:val="00BE1EBE"/>
    <w:rsid w:val="00BE4F44"/>
    <w:rsid w:val="00BE671E"/>
    <w:rsid w:val="00BF5A90"/>
    <w:rsid w:val="00C00457"/>
    <w:rsid w:val="00C16744"/>
    <w:rsid w:val="00C23F34"/>
    <w:rsid w:val="00C31CFE"/>
    <w:rsid w:val="00C364A6"/>
    <w:rsid w:val="00C44D33"/>
    <w:rsid w:val="00C46FEC"/>
    <w:rsid w:val="00C47125"/>
    <w:rsid w:val="00C56AC7"/>
    <w:rsid w:val="00C71638"/>
    <w:rsid w:val="00C771F2"/>
    <w:rsid w:val="00C821E8"/>
    <w:rsid w:val="00C83016"/>
    <w:rsid w:val="00C91600"/>
    <w:rsid w:val="00C9220B"/>
    <w:rsid w:val="00C92211"/>
    <w:rsid w:val="00C93686"/>
    <w:rsid w:val="00C93A40"/>
    <w:rsid w:val="00C93B74"/>
    <w:rsid w:val="00CA34BB"/>
    <w:rsid w:val="00CA36B2"/>
    <w:rsid w:val="00CA3A4D"/>
    <w:rsid w:val="00CB1C1E"/>
    <w:rsid w:val="00CB2F7D"/>
    <w:rsid w:val="00CB3B3A"/>
    <w:rsid w:val="00CC2527"/>
    <w:rsid w:val="00CC3CAD"/>
    <w:rsid w:val="00CC60FF"/>
    <w:rsid w:val="00CD1332"/>
    <w:rsid w:val="00CD6F30"/>
    <w:rsid w:val="00CD7A29"/>
    <w:rsid w:val="00CF063C"/>
    <w:rsid w:val="00CF4138"/>
    <w:rsid w:val="00D008C4"/>
    <w:rsid w:val="00D010E8"/>
    <w:rsid w:val="00D07BF4"/>
    <w:rsid w:val="00D104AA"/>
    <w:rsid w:val="00D117CD"/>
    <w:rsid w:val="00D1230F"/>
    <w:rsid w:val="00D12CE3"/>
    <w:rsid w:val="00D15EB8"/>
    <w:rsid w:val="00D177B6"/>
    <w:rsid w:val="00D20653"/>
    <w:rsid w:val="00D25343"/>
    <w:rsid w:val="00D32311"/>
    <w:rsid w:val="00D33056"/>
    <w:rsid w:val="00D34492"/>
    <w:rsid w:val="00D405A3"/>
    <w:rsid w:val="00D41E45"/>
    <w:rsid w:val="00D43CED"/>
    <w:rsid w:val="00D44E5A"/>
    <w:rsid w:val="00D52A0E"/>
    <w:rsid w:val="00D55F6E"/>
    <w:rsid w:val="00D568F8"/>
    <w:rsid w:val="00D7584B"/>
    <w:rsid w:val="00D76500"/>
    <w:rsid w:val="00DA1900"/>
    <w:rsid w:val="00DA1A01"/>
    <w:rsid w:val="00DA2CD2"/>
    <w:rsid w:val="00DB092F"/>
    <w:rsid w:val="00DB1DC9"/>
    <w:rsid w:val="00DB485B"/>
    <w:rsid w:val="00DB5F72"/>
    <w:rsid w:val="00DB6FC8"/>
    <w:rsid w:val="00DC48A3"/>
    <w:rsid w:val="00DE0601"/>
    <w:rsid w:val="00DE7C84"/>
    <w:rsid w:val="00DF084D"/>
    <w:rsid w:val="00DF3E81"/>
    <w:rsid w:val="00E02B60"/>
    <w:rsid w:val="00E046AE"/>
    <w:rsid w:val="00E1056F"/>
    <w:rsid w:val="00E20408"/>
    <w:rsid w:val="00E207C4"/>
    <w:rsid w:val="00E22EA1"/>
    <w:rsid w:val="00E242A2"/>
    <w:rsid w:val="00E2545F"/>
    <w:rsid w:val="00E333FD"/>
    <w:rsid w:val="00E336CE"/>
    <w:rsid w:val="00E4426D"/>
    <w:rsid w:val="00E67918"/>
    <w:rsid w:val="00E753FB"/>
    <w:rsid w:val="00E910A9"/>
    <w:rsid w:val="00E91E6B"/>
    <w:rsid w:val="00E91FAF"/>
    <w:rsid w:val="00EA03B8"/>
    <w:rsid w:val="00EA110F"/>
    <w:rsid w:val="00EA22D4"/>
    <w:rsid w:val="00EA48BB"/>
    <w:rsid w:val="00EA59FC"/>
    <w:rsid w:val="00EA67E2"/>
    <w:rsid w:val="00EB2302"/>
    <w:rsid w:val="00EB3EFD"/>
    <w:rsid w:val="00EB4871"/>
    <w:rsid w:val="00EB4EC2"/>
    <w:rsid w:val="00EC0CFA"/>
    <w:rsid w:val="00EC4FD2"/>
    <w:rsid w:val="00EC538E"/>
    <w:rsid w:val="00EC62CF"/>
    <w:rsid w:val="00ED0E7A"/>
    <w:rsid w:val="00ED48B6"/>
    <w:rsid w:val="00ED539A"/>
    <w:rsid w:val="00EE1526"/>
    <w:rsid w:val="00EE36B2"/>
    <w:rsid w:val="00EE4841"/>
    <w:rsid w:val="00EE6763"/>
    <w:rsid w:val="00EF01D1"/>
    <w:rsid w:val="00EF47FC"/>
    <w:rsid w:val="00EF57D5"/>
    <w:rsid w:val="00F00805"/>
    <w:rsid w:val="00F00E83"/>
    <w:rsid w:val="00F06DDB"/>
    <w:rsid w:val="00F104AE"/>
    <w:rsid w:val="00F11719"/>
    <w:rsid w:val="00F139CA"/>
    <w:rsid w:val="00F25BC6"/>
    <w:rsid w:val="00F30C77"/>
    <w:rsid w:val="00F33FB8"/>
    <w:rsid w:val="00F34E79"/>
    <w:rsid w:val="00F35C7D"/>
    <w:rsid w:val="00F369FD"/>
    <w:rsid w:val="00F40D2A"/>
    <w:rsid w:val="00F40F3D"/>
    <w:rsid w:val="00F41F12"/>
    <w:rsid w:val="00F45D5D"/>
    <w:rsid w:val="00F54404"/>
    <w:rsid w:val="00F57075"/>
    <w:rsid w:val="00F60DD3"/>
    <w:rsid w:val="00F7403D"/>
    <w:rsid w:val="00F75DD4"/>
    <w:rsid w:val="00F764FD"/>
    <w:rsid w:val="00F80F4C"/>
    <w:rsid w:val="00F81382"/>
    <w:rsid w:val="00F917DD"/>
    <w:rsid w:val="00F94F4E"/>
    <w:rsid w:val="00FA3F8D"/>
    <w:rsid w:val="00FA656F"/>
    <w:rsid w:val="00FA6BD7"/>
    <w:rsid w:val="00FB369A"/>
    <w:rsid w:val="00FB7BF5"/>
    <w:rsid w:val="00FC0027"/>
    <w:rsid w:val="00FC3AA1"/>
    <w:rsid w:val="00FC70B6"/>
    <w:rsid w:val="00FD77D8"/>
    <w:rsid w:val="00FE4E51"/>
    <w:rsid w:val="00FE5649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D69FDC1"/>
  <w15:docId w15:val="{E123F8D8-4175-4E97-8D49-6E265FC5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6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D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11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No Spacing1,List Paragraph Char Char Char,Indicator Text,Colorful List - Accent 11,Numbered Para 1,Bullet Points,MAIN CONTENT,List Paragraph11,List Paragraph12,List Paragraph2,L,Bullet lis"/>
    <w:basedOn w:val="Normalny"/>
    <w:link w:val="AkapitzlistZnak"/>
    <w:uiPriority w:val="34"/>
    <w:qFormat/>
    <w:rsid w:val="002D4D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04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04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04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4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4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408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o,f, Znak"/>
    <w:basedOn w:val="Normalny"/>
    <w:link w:val="TekstprzypisudolnegoZnak"/>
    <w:uiPriority w:val="99"/>
    <w:unhideWhenUsed/>
    <w:qFormat/>
    <w:rsid w:val="00E204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o Znak,f Znak, Znak Znak"/>
    <w:basedOn w:val="Domylnaczcionkaakapitu"/>
    <w:link w:val="Tekstprzypisudolnego"/>
    <w:uiPriority w:val="99"/>
    <w:semiHidden/>
    <w:rsid w:val="00E20408"/>
    <w:rPr>
      <w:sz w:val="20"/>
      <w:szCs w:val="20"/>
    </w:rPr>
  </w:style>
  <w:style w:type="character" w:styleId="Odwoanieprzypisudolnego">
    <w:name w:val="footnote reference"/>
    <w:aliases w:val="Footnote Reference Number,Odwołanie przypisu,EN Footnote Reference,Times 10 Point,Exposant 3 Point,Footnote symbol,Footnote reference number,note TESI,stylish,Footnote Reference Superscript,Znak Znak11,Footnote Reference/,Char"/>
    <w:basedOn w:val="Domylnaczcionkaakapitu"/>
    <w:uiPriority w:val="99"/>
    <w:unhideWhenUsed/>
    <w:qFormat/>
    <w:rsid w:val="00E2040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E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34C"/>
  </w:style>
  <w:style w:type="paragraph" w:styleId="Stopka">
    <w:name w:val="footer"/>
    <w:basedOn w:val="Normalny"/>
    <w:link w:val="StopkaZnak"/>
    <w:uiPriority w:val="99"/>
    <w:unhideWhenUsed/>
    <w:rsid w:val="002E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34C"/>
  </w:style>
  <w:style w:type="character" w:styleId="Tekstzastpczy">
    <w:name w:val="Placeholder Text"/>
    <w:basedOn w:val="Domylnaczcionkaakapitu"/>
    <w:uiPriority w:val="99"/>
    <w:semiHidden/>
    <w:rsid w:val="0052393E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7B6F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6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7B6F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17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F4D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111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61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1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613E"/>
    <w:rPr>
      <w:vertAlign w:val="superscript"/>
    </w:rPr>
  </w:style>
  <w:style w:type="paragraph" w:styleId="Bezodstpw">
    <w:name w:val="No Spacing"/>
    <w:link w:val="BezodstpwZnak"/>
    <w:uiPriority w:val="1"/>
    <w:qFormat/>
    <w:rsid w:val="006525D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525D2"/>
    <w:rPr>
      <w:rFonts w:eastAsiaTheme="minorEastAsia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525D2"/>
    <w:pPr>
      <w:outlineLvl w:val="9"/>
    </w:pPr>
    <w:rPr>
      <w:lang w:eastAsia="pl-PL"/>
    </w:rPr>
  </w:style>
  <w:style w:type="paragraph" w:styleId="Spistreci1">
    <w:name w:val="toc 1"/>
    <w:basedOn w:val="Nagwek3"/>
    <w:next w:val="Normalny"/>
    <w:autoRedefine/>
    <w:uiPriority w:val="39"/>
    <w:unhideWhenUsed/>
    <w:qFormat/>
    <w:rsid w:val="003B3E3F"/>
    <w:pPr>
      <w:spacing w:after="100"/>
    </w:pPr>
    <w:rPr>
      <w:b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E6C46"/>
    <w:pPr>
      <w:spacing w:after="100"/>
      <w:ind w:left="220"/>
    </w:pPr>
    <w:rPr>
      <w:b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E6C46"/>
    <w:pPr>
      <w:spacing w:after="100"/>
      <w:ind w:left="440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6525D2"/>
    <w:rPr>
      <w:color w:val="0563C1" w:themeColor="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6C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6C46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4E6C46"/>
    <w:rPr>
      <w:smallCaps/>
      <w:color w:val="5A5A5A" w:themeColor="text1" w:themeTint="A5"/>
    </w:rPr>
  </w:style>
  <w:style w:type="table" w:customStyle="1" w:styleId="Tabela-Siatka1">
    <w:name w:val="Tabela - Siatka1"/>
    <w:basedOn w:val="Standardowy"/>
    <w:next w:val="Tabela-Siatka"/>
    <w:uiPriority w:val="39"/>
    <w:rsid w:val="00AF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A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E70A7"/>
    <w:rPr>
      <w:rFonts w:ascii="Times New Roman" w:hAnsi="Times New Roman" w:cs="Times New Roman"/>
      <w:sz w:val="24"/>
      <w:szCs w:val="24"/>
    </w:rPr>
  </w:style>
  <w:style w:type="table" w:styleId="redniecieniowanie1">
    <w:name w:val="Medium Shading 1"/>
    <w:basedOn w:val="Standardowy"/>
    <w:uiPriority w:val="63"/>
    <w:rsid w:val="00814F8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4274EA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siatki1jasnaakcent11">
    <w:name w:val="Tabela siatki 1 — jasna — akcent 11"/>
    <w:basedOn w:val="Standardowy"/>
    <w:uiPriority w:val="46"/>
    <w:rsid w:val="001A255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1A255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Dot pt Znak,F5 List Paragraph Znak,List Paragraph1 Znak,No Spacing1 Znak,List Paragraph Char Char Char Znak,Indicator Text Znak,Colorful List - Accent 11 Znak,Numbered Para 1 Znak,Bullet Points Znak,MAIN CONTENT Znak,L Znak"/>
    <w:link w:val="Akapitzlist"/>
    <w:uiPriority w:val="34"/>
    <w:qFormat/>
    <w:locked/>
    <w:rsid w:val="00600C81"/>
  </w:style>
  <w:style w:type="character" w:styleId="Pogrubienie">
    <w:name w:val="Strong"/>
    <w:basedOn w:val="Domylnaczcionkaakapitu"/>
    <w:uiPriority w:val="22"/>
    <w:qFormat/>
    <w:rsid w:val="00026264"/>
    <w:rPr>
      <w:b/>
      <w:bCs/>
    </w:rPr>
  </w:style>
  <w:style w:type="character" w:customStyle="1" w:styleId="3oh-">
    <w:name w:val="_3oh-"/>
    <w:basedOn w:val="Domylnaczcionkaakapitu"/>
    <w:rsid w:val="00026264"/>
  </w:style>
  <w:style w:type="table" w:styleId="redniasiatka3akcent5">
    <w:name w:val="Medium Grid 3 Accent 5"/>
    <w:basedOn w:val="Standardowy"/>
    <w:uiPriority w:val="69"/>
    <w:rsid w:val="00C23F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1">
    <w:name w:val="Medium Grid 3 Accent 1"/>
    <w:basedOn w:val="Standardowy"/>
    <w:uiPriority w:val="69"/>
    <w:rsid w:val="00C23F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lista2akcent5">
    <w:name w:val="Medium List 2 Accent 5"/>
    <w:basedOn w:val="Standardowy"/>
    <w:uiPriority w:val="66"/>
    <w:rsid w:val="00C23F3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olorowecieniowanieakcent1">
    <w:name w:val="Colorful Shading Accent 1"/>
    <w:basedOn w:val="Standardowy"/>
    <w:uiPriority w:val="71"/>
    <w:rsid w:val="00800B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Jasnalistaakcent1">
    <w:name w:val="Light List Accent 1"/>
    <w:basedOn w:val="Standardowy"/>
    <w:uiPriority w:val="61"/>
    <w:rsid w:val="00267E7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Jasnalistaakcent11">
    <w:name w:val="Jasna lista — akcent 11"/>
    <w:basedOn w:val="Standardowy"/>
    <w:next w:val="Jasnalistaakcent1"/>
    <w:uiPriority w:val="61"/>
    <w:rsid w:val="00F40D2A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192DAE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2345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AAAAAA"/>
                    <w:bottom w:val="none" w:sz="0" w:space="0" w:color="auto"/>
                    <w:right w:val="none" w:sz="0" w:space="0" w:color="auto"/>
                  </w:divBdr>
                </w:div>
                <w:div w:id="5432493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AAAAAA"/>
                    <w:bottom w:val="none" w:sz="0" w:space="0" w:color="auto"/>
                    <w:right w:val="none" w:sz="0" w:space="0" w:color="auto"/>
                  </w:divBdr>
                </w:div>
                <w:div w:id="452478105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AAAAAA"/>
                    <w:bottom w:val="none" w:sz="0" w:space="0" w:color="auto"/>
                    <w:right w:val="none" w:sz="0" w:space="0" w:color="auto"/>
                  </w:divBdr>
                </w:div>
                <w:div w:id="1107654672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AAAAAA"/>
                    <w:bottom w:val="none" w:sz="0" w:space="0" w:color="auto"/>
                    <w:right w:val="none" w:sz="0" w:space="0" w:color="auto"/>
                  </w:divBdr>
                </w:div>
                <w:div w:id="984621082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AAAAAA"/>
                    <w:bottom w:val="none" w:sz="0" w:space="0" w:color="auto"/>
                    <w:right w:val="none" w:sz="0" w:space="0" w:color="auto"/>
                  </w:divBdr>
                </w:div>
                <w:div w:id="61586568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AAAAAA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0804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AAAAAA"/>
                    <w:bottom w:val="none" w:sz="0" w:space="0" w:color="auto"/>
                    <w:right w:val="none" w:sz="0" w:space="0" w:color="auto"/>
                  </w:divBdr>
                </w:div>
                <w:div w:id="16402650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AAAAAA"/>
                    <w:bottom w:val="none" w:sz="0" w:space="0" w:color="auto"/>
                    <w:right w:val="none" w:sz="0" w:space="0" w:color="auto"/>
                  </w:divBdr>
                </w:div>
                <w:div w:id="169974513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AAAAAA"/>
                    <w:bottom w:val="none" w:sz="0" w:space="0" w:color="auto"/>
                    <w:right w:val="none" w:sz="0" w:space="0" w:color="auto"/>
                  </w:divBdr>
                </w:div>
                <w:div w:id="1988237571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AAAAAA"/>
                    <w:bottom w:val="none" w:sz="0" w:space="0" w:color="auto"/>
                    <w:right w:val="none" w:sz="0" w:space="0" w:color="auto"/>
                  </w:divBdr>
                </w:div>
                <w:div w:id="3101420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AAAAAA"/>
                    <w:bottom w:val="none" w:sz="0" w:space="0" w:color="auto"/>
                    <w:right w:val="none" w:sz="0" w:space="0" w:color="auto"/>
                  </w:divBdr>
                </w:div>
                <w:div w:id="170756433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AAAAAA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1265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AAAAAA"/>
                    <w:bottom w:val="none" w:sz="0" w:space="0" w:color="auto"/>
                    <w:right w:val="none" w:sz="0" w:space="0" w:color="auto"/>
                  </w:divBdr>
                </w:div>
                <w:div w:id="9485082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AAAAAA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2271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AAAAAA"/>
                    <w:bottom w:val="none" w:sz="0" w:space="0" w:color="auto"/>
                    <w:right w:val="none" w:sz="0" w:space="0" w:color="auto"/>
                  </w:divBdr>
                </w:div>
                <w:div w:id="359942183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AAAAAA"/>
                    <w:bottom w:val="none" w:sz="0" w:space="0" w:color="auto"/>
                    <w:right w:val="none" w:sz="0" w:space="0" w:color="auto"/>
                  </w:divBdr>
                </w:div>
                <w:div w:id="411581641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AAAAAA"/>
                    <w:bottom w:val="none" w:sz="0" w:space="0" w:color="auto"/>
                    <w:right w:val="none" w:sz="0" w:space="0" w:color="auto"/>
                  </w:divBdr>
                </w:div>
                <w:div w:id="84425291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AAAAAA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9" Type="http://schemas.openxmlformats.org/officeDocument/2006/relationships/theme" Target="theme/theme1.xml"/><Relationship Id="rId21" Type="http://schemas.openxmlformats.org/officeDocument/2006/relationships/package" Target="embeddings/Arkusz_programu_Microsoft_Excel2.xlsx"/><Relationship Id="rId34" Type="http://schemas.openxmlformats.org/officeDocument/2006/relationships/package" Target="embeddings/Arkusz_programu_Microsoft_Excel5.xlsx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33" Type="http://schemas.openxmlformats.org/officeDocument/2006/relationships/image" Target="media/image8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Arkusz_programu_Microsoft_Excel1.xlsx"/><Relationship Id="rId20" Type="http://schemas.openxmlformats.org/officeDocument/2006/relationships/image" Target="media/image3.emf"/><Relationship Id="rId29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package" Target="embeddings/Arkusz_programu_Microsoft_Excel3.xlsx"/><Relationship Id="rId32" Type="http://schemas.openxmlformats.org/officeDocument/2006/relationships/package" Target="embeddings/Arkusz_programu_Microsoft_Excel4.xlsx"/><Relationship Id="rId37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5.emf"/><Relationship Id="rId28" Type="http://schemas.openxmlformats.org/officeDocument/2006/relationships/image" Target="media/image6.emf"/><Relationship Id="rId36" Type="http://schemas.openxmlformats.org/officeDocument/2006/relationships/header" Target="header9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31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hart" Target="charts/chart2.xml"/><Relationship Id="rId22" Type="http://schemas.openxmlformats.org/officeDocument/2006/relationships/image" Target="media/image4.png"/><Relationship Id="rId27" Type="http://schemas.openxmlformats.org/officeDocument/2006/relationships/header" Target="header7.xml"/><Relationship Id="rId30" Type="http://schemas.openxmlformats.org/officeDocument/2006/relationships/chart" Target="charts/chart4.xml"/><Relationship Id="rId35" Type="http://schemas.openxmlformats.org/officeDocument/2006/relationships/header" Target="header8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Morawskij\out01\!%20P%20R%20O%20G%20R%20A%20M%20O%20W%20A%20N%20I%20E%20%202%200%202%201%20-%202%200%202%207\!PODZIA&#321;%20ALOKACJI%20DLA%20PL\Podzia&#322;%20na%20PO\PODZIA&#321;%20NA%20PO%2021-27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Morawskij\out01\Podzia&#322;%20RPO\RPO_algorytm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zymon_Kajma\Desktop\RPO_algorytm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3054746109492221E-2"/>
          <c:y val="6.386309793067492E-2"/>
          <c:w val="0.77085953416662079"/>
          <c:h val="0.92373949764659302"/>
        </c:manualLayout>
      </c:layout>
      <c:pieChart>
        <c:varyColors val="1"/>
        <c:ser>
          <c:idx val="0"/>
          <c:order val="0"/>
          <c:tx>
            <c:strRef>
              <c:f>'Wykres historyczny'!$C$1</c:f>
              <c:strCache>
                <c:ptCount val="1"/>
                <c:pt idx="0">
                  <c:v>2014-2021 (w mln euro)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A1-46B9-878E-30DE13539D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A1-46B9-878E-30DE13539D0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A1-46B9-878E-30DE13539D0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1A1-46B9-878E-30DE13539D01}"/>
              </c:ext>
            </c:extLst>
          </c:dPt>
          <c:dPt>
            <c:idx val="4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1A1-46B9-878E-30DE13539D01}"/>
              </c:ext>
            </c:extLst>
          </c:dPt>
          <c:dPt>
            <c:idx val="5"/>
            <c:bubble3D val="0"/>
            <c:spPr>
              <a:solidFill>
                <a:schemeClr val="accent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1A1-46B9-878E-30DE13539D01}"/>
              </c:ext>
            </c:extLst>
          </c:dPt>
          <c:dPt>
            <c:idx val="6"/>
            <c:bubble3D val="0"/>
            <c:spPr>
              <a:solidFill>
                <a:schemeClr val="accent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1A1-46B9-878E-30DE13539D01}"/>
              </c:ext>
            </c:extLst>
          </c:dPt>
          <c:dLbls>
            <c:dLbl>
              <c:idx val="0"/>
              <c:layout>
                <c:manualLayout>
                  <c:x val="9.0525384175768345E-2"/>
                  <c:y val="-0.1713133797659514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830689435659934"/>
                      <c:h val="9.806649168853892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1A1-46B9-878E-30DE13539D01}"/>
                </c:ext>
              </c:extLst>
            </c:dLbl>
            <c:dLbl>
              <c:idx val="1"/>
              <c:layout>
                <c:manualLayout>
                  <c:x val="0.16591610839471674"/>
                  <c:y val="0.2332832473875338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251142558229169"/>
                      <c:h val="0.1269260546342321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21A1-46B9-878E-30DE13539D01}"/>
                </c:ext>
              </c:extLst>
            </c:dLbl>
            <c:dLbl>
              <c:idx val="2"/>
              <c:layout>
                <c:manualLayout>
                  <c:x val="-0.16063845408940827"/>
                  <c:y val="0.140353194304849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500523098948295"/>
                      <c:h val="0.1269260546342321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1A1-46B9-878E-30DE13539D01}"/>
                </c:ext>
              </c:extLst>
            </c:dLbl>
            <c:dLbl>
              <c:idx val="3"/>
              <c:layout>
                <c:manualLayout>
                  <c:x val="-0.17415862331724663"/>
                  <c:y val="1.282848383528710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69068319796976"/>
                      <c:h val="0.1273906386701662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21A1-46B9-878E-30DE13539D01}"/>
                </c:ext>
              </c:extLst>
            </c:dLbl>
            <c:dLbl>
              <c:idx val="4"/>
              <c:layout>
                <c:manualLayout>
                  <c:x val="-2.6957240581147828E-2"/>
                  <c:y val="-5.034156514272132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032363358269854"/>
                      <c:h val="7.658628608923884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21A1-46B9-878E-30DE13539D01}"/>
                </c:ext>
              </c:extLst>
            </c:dLbl>
            <c:dLbl>
              <c:idx val="5"/>
              <c:layout>
                <c:manualLayout>
                  <c:x val="-3.3009557337617214E-2"/>
                  <c:y val="-2.60493219597550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653265601702119"/>
                      <c:h val="0.126925853018372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21A1-46B9-878E-30DE13539D01}"/>
                </c:ext>
              </c:extLst>
            </c:dLbl>
            <c:dLbl>
              <c:idx val="6"/>
              <c:layout>
                <c:manualLayout>
                  <c:x val="-2.1703743895822129E-2"/>
                  <c:y val="-1.2731334408019992E-1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21A1-46B9-878E-30DE13539D01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'Wykres historyczny'!$A$2:$A$8</c:f>
              <c:strCache>
                <c:ptCount val="7"/>
                <c:pt idx="0">
                  <c:v>RPO</c:v>
                </c:pt>
                <c:pt idx="1">
                  <c:v>POIiŚ</c:v>
                </c:pt>
                <c:pt idx="2">
                  <c:v>POIR</c:v>
                </c:pt>
                <c:pt idx="3">
                  <c:v>POWER</c:v>
                </c:pt>
                <c:pt idx="4">
                  <c:v>POPC</c:v>
                </c:pt>
                <c:pt idx="5">
                  <c:v>POPW</c:v>
                </c:pt>
                <c:pt idx="6">
                  <c:v>POPT</c:v>
                </c:pt>
              </c:strCache>
            </c:strRef>
          </c:cat>
          <c:val>
            <c:numRef>
              <c:f>'Wykres historyczny'!$C$2:$C$8</c:f>
              <c:numCache>
                <c:formatCode>0.0</c:formatCode>
                <c:ptCount val="7"/>
                <c:pt idx="0">
                  <c:v>31.276897550000001</c:v>
                </c:pt>
                <c:pt idx="1">
                  <c:v>27.413746884999998</c:v>
                </c:pt>
                <c:pt idx="2">
                  <c:v>8.613929014</c:v>
                </c:pt>
                <c:pt idx="3">
                  <c:v>4.689269855</c:v>
                </c:pt>
                <c:pt idx="4">
                  <c:v>2.1724946699999999</c:v>
                </c:pt>
                <c:pt idx="5">
                  <c:v>2</c:v>
                </c:pt>
                <c:pt idx="6">
                  <c:v>0.700123363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1A1-46B9-878E-30DE13539D0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12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154487519661135"/>
          <c:y val="0.23762986657917759"/>
          <c:w val="0.74166738248628017"/>
          <c:h val="0.70942097455209407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7D7-45E6-AAD2-41D9CCFB37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7D7-45E6-AAD2-41D9CCFB37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7D7-45E6-AAD2-41D9CCFB37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7D7-45E6-AAD2-41D9CCFB372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7D7-45E6-AAD2-41D9CCFB372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7D7-45E6-AAD2-41D9CCFB372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7D7-45E6-AAD2-41D9CCFB372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7D7-45E6-AAD2-41D9CCFB372F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RPO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7D7-45E6-AAD2-41D9CCFB372F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PO IiŚ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7D7-45E6-AAD2-41D9CCFB372F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PO IR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7D7-45E6-AAD2-41D9CCFB372F}"/>
                </c:ext>
              </c:extLst>
            </c:dLbl>
            <c:dLbl>
              <c:idx val="3"/>
              <c:layout>
                <c:manualLayout>
                  <c:x val="-8.6661417322834652E-2"/>
                  <c:y val="0.1012424968618053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 WER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7D7-45E6-AAD2-41D9CCFB372F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PO</a:t>
                    </a:r>
                    <a:r>
                      <a:rPr lang="en-US" baseline="0"/>
                      <a:t> PC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57D7-45E6-AAD2-41D9CCFB372F}"/>
                </c:ext>
              </c:extLst>
            </c:dLbl>
            <c:dLbl>
              <c:idx val="5"/>
              <c:layout>
                <c:manualLayout>
                  <c:x val="-0.1052106895728943"/>
                  <c:y val="-7.93381262124843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</a:t>
                    </a:r>
                    <a:r>
                      <a:rPr lang="en-US" baseline="0"/>
                      <a:t> PW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57D7-45E6-AAD2-41D9CCFB372F}"/>
                </c:ext>
              </c:extLst>
            </c:dLbl>
            <c:dLbl>
              <c:idx val="6"/>
              <c:layout>
                <c:manualLayout>
                  <c:x val="1.1363636363636364E-2"/>
                  <c:y val="-0.1025918064589752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</a:t>
                    </a:r>
                    <a:r>
                      <a:rPr lang="en-US" baseline="0"/>
                      <a:t> PŻ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57D7-45E6-AAD2-41D9CCFB372F}"/>
                </c:ext>
              </c:extLst>
            </c:dLbl>
            <c:dLbl>
              <c:idx val="7"/>
              <c:layout>
                <c:manualLayout>
                  <c:x val="0.2490761154855643"/>
                  <c:y val="-4.83533036631290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</a:t>
                    </a:r>
                    <a:r>
                      <a:rPr lang="en-US" baseline="0"/>
                      <a:t> PT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57D7-45E6-AAD2-41D9CCFB37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Arkusz1!$A$2:$A$9</c:f>
              <c:strCache>
                <c:ptCount val="8"/>
                <c:pt idx="0">
                  <c:v>RPO</c:v>
                </c:pt>
                <c:pt idx="1">
                  <c:v>POIiŚ</c:v>
                </c:pt>
                <c:pt idx="2">
                  <c:v>POIR</c:v>
                </c:pt>
                <c:pt idx="3">
                  <c:v>POWER</c:v>
                </c:pt>
                <c:pt idx="4">
                  <c:v>POPC</c:v>
                </c:pt>
                <c:pt idx="5">
                  <c:v>POPW</c:v>
                </c:pt>
                <c:pt idx="6">
                  <c:v>PO PŻ</c:v>
                </c:pt>
                <c:pt idx="7">
                  <c:v>POPT</c:v>
                </c:pt>
              </c:strCache>
            </c:strRef>
          </c:cat>
          <c:val>
            <c:numRef>
              <c:f>Arkusz1!$B$2:$B$9</c:f>
              <c:numCache>
                <c:formatCode>0.00%</c:formatCode>
                <c:ptCount val="8"/>
                <c:pt idx="0">
                  <c:v>0.4</c:v>
                </c:pt>
                <c:pt idx="1">
                  <c:v>0.35299999999999998</c:v>
                </c:pt>
                <c:pt idx="2">
                  <c:v>0.111</c:v>
                </c:pt>
                <c:pt idx="3">
                  <c:v>0.06</c:v>
                </c:pt>
                <c:pt idx="4">
                  <c:v>2.8000000000000001E-2</c:v>
                </c:pt>
                <c:pt idx="5">
                  <c:v>3.5999999999999997E-2</c:v>
                </c:pt>
                <c:pt idx="6">
                  <c:v>3.0000000000000001E-3</c:v>
                </c:pt>
                <c:pt idx="7">
                  <c:v>8.9999999999999993E-3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57D7-45E6-AAD2-41D9CCFB372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noFill/>
      <a:round/>
    </a:ln>
    <a:effectLst/>
  </c:spPr>
  <c:txPr>
    <a:bodyPr anchor="b" anchorCtr="0"/>
    <a:lstStyle/>
    <a:p>
      <a:pPr>
        <a:defRPr>
          <a:solidFill>
            <a:schemeClr val="tx1"/>
          </a:solidFill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415725812051267E-2"/>
          <c:y val="3.8800705467372132E-2"/>
          <c:w val="0.86298136344068099"/>
          <c:h val="0.78032301517865821"/>
        </c:manualLayout>
      </c:layout>
      <c:scatterChart>
        <c:scatterStyle val="lineMarker"/>
        <c:varyColors val="0"/>
        <c:ser>
          <c:idx val="0"/>
          <c:order val="0"/>
          <c:tx>
            <c:strRef>
              <c:f>Ludność!$D$27</c:f>
              <c:strCache>
                <c:ptCount val="1"/>
                <c:pt idx="0">
                  <c:v>skorygowane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7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/>
                      <a:t>Małopolskie</a:t>
                    </a:r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C5-4499-B1C0-F213CE9BF200}"/>
                </c:ext>
              </c:extLst>
            </c:dLbl>
            <c:dLbl>
              <c:idx val="10"/>
              <c:layout>
                <c:manualLayout>
                  <c:x val="-5.1254393987124384E-2"/>
                  <c:y val="-4.0775878476835579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Łódzkie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C5-4499-B1C0-F213CE9BF20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19050" cap="rnd">
                <a:solidFill>
                  <a:schemeClr val="accent6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Ludność!$C$28:$C$42</c:f>
              <c:numCache>
                <c:formatCode>#,##0</c:formatCode>
                <c:ptCount val="15"/>
                <c:pt idx="0">
                  <c:v>41957</c:v>
                </c:pt>
                <c:pt idx="1">
                  <c:v>48460.333333333336</c:v>
                </c:pt>
                <c:pt idx="2">
                  <c:v>39109.666666666664</c:v>
                </c:pt>
                <c:pt idx="3">
                  <c:v>50560</c:v>
                </c:pt>
                <c:pt idx="4">
                  <c:v>39217.666666666664</c:v>
                </c:pt>
                <c:pt idx="5">
                  <c:v>51985.666666666664</c:v>
                </c:pt>
                <c:pt idx="6">
                  <c:v>37555.333333333336</c:v>
                </c:pt>
                <c:pt idx="7">
                  <c:v>38030.666666666664</c:v>
                </c:pt>
                <c:pt idx="8">
                  <c:v>44828</c:v>
                </c:pt>
                <c:pt idx="9">
                  <c:v>33217</c:v>
                </c:pt>
                <c:pt idx="10">
                  <c:v>43619.333333333336</c:v>
                </c:pt>
                <c:pt idx="11">
                  <c:v>33706.666666666664</c:v>
                </c:pt>
                <c:pt idx="12">
                  <c:v>32213.333333333332</c:v>
                </c:pt>
                <c:pt idx="13">
                  <c:v>32980.333333333336</c:v>
                </c:pt>
                <c:pt idx="14">
                  <c:v>33308.666666666664</c:v>
                </c:pt>
              </c:numCache>
            </c:numRef>
          </c:xVal>
          <c:yVal>
            <c:numRef>
              <c:f>Ludność!$D$28:$D$42</c:f>
              <c:numCache>
                <c:formatCode>0</c:formatCode>
                <c:ptCount val="15"/>
                <c:pt idx="0">
                  <c:v>81.456241207510217</c:v>
                </c:pt>
                <c:pt idx="1">
                  <c:v>69.079355913080491</c:v>
                </c:pt>
                <c:pt idx="2">
                  <c:v>86.875172739289766</c:v>
                </c:pt>
                <c:pt idx="3">
                  <c:v>65.083353838779473</c:v>
                </c:pt>
                <c:pt idx="4">
                  <c:v>86.669631435579092</c:v>
                </c:pt>
                <c:pt idx="5">
                  <c:v>62.370081752450616</c:v>
                </c:pt>
                <c:pt idx="6">
                  <c:v>89.833318107199858</c:v>
                </c:pt>
                <c:pt idx="7">
                  <c:v>88.928682616176957</c:v>
                </c:pt>
                <c:pt idx="8">
                  <c:v>75.992268217201499</c:v>
                </c:pt>
                <c:pt idx="9">
                  <c:v>98.089861526318401</c:v>
                </c:pt>
                <c:pt idx="10">
                  <c:v>78.292554535889465</c:v>
                </c:pt>
                <c:pt idx="11">
                  <c:v>97.157947405482062</c:v>
                </c:pt>
                <c:pt idx="12">
                  <c:v>100</c:v>
                </c:pt>
                <c:pt idx="13">
                  <c:v>98.540276111610297</c:v>
                </c:pt>
                <c:pt idx="14">
                  <c:v>97.915405172860275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CEC5-4499-B1C0-F213CE9BF200}"/>
            </c:ext>
          </c:extLst>
        </c:ser>
        <c:ser>
          <c:idx val="1"/>
          <c:order val="1"/>
          <c:tx>
            <c:strRef>
              <c:f>Ludność!$E$27</c:f>
              <c:strCache>
                <c:ptCount val="1"/>
                <c:pt idx="0">
                  <c:v>bez korekty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7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3-CEC5-4499-B1C0-F213CE9BF200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4-CEC5-4499-B1C0-F213CE9BF20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/>
                      <a:t>Małopolskie</a:t>
                    </a:r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EC5-4499-B1C0-F213CE9BF200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 sz="900"/>
                      <a:t>Łódzkie</a:t>
                    </a:r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EC5-4499-B1C0-F213CE9BF20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19050" cap="rnd">
                <a:solidFill>
                  <a:schemeClr val="accent5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Ludność!$C$28:$C$42</c:f>
              <c:numCache>
                <c:formatCode>#,##0</c:formatCode>
                <c:ptCount val="15"/>
                <c:pt idx="0">
                  <c:v>41957</c:v>
                </c:pt>
                <c:pt idx="1">
                  <c:v>48460.333333333336</c:v>
                </c:pt>
                <c:pt idx="2">
                  <c:v>39109.666666666664</c:v>
                </c:pt>
                <c:pt idx="3">
                  <c:v>50560</c:v>
                </c:pt>
                <c:pt idx="4">
                  <c:v>39217.666666666664</c:v>
                </c:pt>
                <c:pt idx="5">
                  <c:v>51985.666666666664</c:v>
                </c:pt>
                <c:pt idx="6">
                  <c:v>37555.333333333336</c:v>
                </c:pt>
                <c:pt idx="7">
                  <c:v>38030.666666666664</c:v>
                </c:pt>
                <c:pt idx="8">
                  <c:v>44828</c:v>
                </c:pt>
                <c:pt idx="9">
                  <c:v>33217</c:v>
                </c:pt>
                <c:pt idx="10">
                  <c:v>43619.333333333336</c:v>
                </c:pt>
                <c:pt idx="11">
                  <c:v>33706.666666666664</c:v>
                </c:pt>
                <c:pt idx="12">
                  <c:v>32213.333333333332</c:v>
                </c:pt>
                <c:pt idx="13">
                  <c:v>32980.333333333336</c:v>
                </c:pt>
                <c:pt idx="14">
                  <c:v>33308.666666666664</c:v>
                </c:pt>
              </c:numCache>
            </c:numRef>
          </c:xVal>
          <c:yVal>
            <c:numRef>
              <c:f>Ludność!$E$28:$E$42</c:f>
              <c:numCache>
                <c:formatCode>0</c:formatCode>
                <c:ptCount val="15"/>
                <c:pt idx="0">
                  <c:v>50.720704014026381</c:v>
                </c:pt>
                <c:pt idx="1">
                  <c:v>17.829627256941563</c:v>
                </c:pt>
                <c:pt idx="2">
                  <c:v>65.121297435811016</c:v>
                </c:pt>
                <c:pt idx="3">
                  <c:v>7.2104118549488589</c:v>
                </c:pt>
                <c:pt idx="4">
                  <c:v>64.57507965675947</c:v>
                </c:pt>
                <c:pt idx="5">
                  <c:v>0</c:v>
                </c:pt>
                <c:pt idx="6">
                  <c:v>72.982450225061967</c:v>
                </c:pt>
                <c:pt idx="7">
                  <c:v>70.578417654298136</c:v>
                </c:pt>
                <c:pt idx="8">
                  <c:v>36.200414720906366</c:v>
                </c:pt>
                <c:pt idx="9">
                  <c:v>94.923883540974771</c:v>
                </c:pt>
                <c:pt idx="10">
                  <c:v>42.313333445723828</c:v>
                </c:pt>
                <c:pt idx="11">
                  <c:v>92.447359104472639</c:v>
                </c:pt>
                <c:pt idx="12">
                  <c:v>100.00000000000003</c:v>
                </c:pt>
                <c:pt idx="13">
                  <c:v>96.120842254328437</c:v>
                </c:pt>
                <c:pt idx="14">
                  <c:v>94.46027277171811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CEC5-4499-B1C0-F213CE9BF2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8018688"/>
        <c:axId val="148020608"/>
      </c:scatterChart>
      <c:valAx>
        <c:axId val="148018688"/>
        <c:scaling>
          <c:orientation val="minMax"/>
          <c:min val="30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PKB pc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0.4975437098140511"/>
              <c:y val="0.8775223702224541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8020608"/>
        <c:crosses val="autoZero"/>
        <c:crossBetween val="midCat"/>
      </c:valAx>
      <c:valAx>
        <c:axId val="14802060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Przyznane</a:t>
                </a:r>
                <a:r>
                  <a:rPr lang="pl-PL" baseline="0"/>
                  <a:t> punkty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4.4091710758377423E-3"/>
              <c:y val="0.2794998751957157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801868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279562276937606E-2"/>
          <c:y val="3.1473533619456366E-2"/>
          <c:w val="0.84191281645349891"/>
          <c:h val="0.67581109447933185"/>
        </c:manualLayout>
      </c:layout>
      <c:lineChart>
        <c:grouping val="standard"/>
        <c:varyColors val="0"/>
        <c:ser>
          <c:idx val="0"/>
          <c:order val="0"/>
          <c:tx>
            <c:strRef>
              <c:f>Ludność!$H$5</c:f>
              <c:strCache>
                <c:ptCount val="1"/>
                <c:pt idx="0">
                  <c:v>średnia ludność [lewa oś]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Ludność!$B$7:$B$22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OPOLSKIE</c:v>
                </c:pt>
                <c:pt idx="7">
                  <c:v>PODKARPACKIE</c:v>
                </c:pt>
                <c:pt idx="8">
                  <c:v>PODLASKIE</c:v>
                </c:pt>
                <c:pt idx="9">
                  <c:v>POMORSKIE</c:v>
                </c:pt>
                <c:pt idx="10">
                  <c:v>MAZOWIECKI REGIONALNY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Ludność!$H$7:$H$22</c:f>
              <c:numCache>
                <c:formatCode>#,##0</c:formatCode>
                <c:ptCount val="16"/>
                <c:pt idx="0">
                  <c:v>2904029.2</c:v>
                </c:pt>
                <c:pt idx="1">
                  <c:v>2084169.6</c:v>
                </c:pt>
                <c:pt idx="2">
                  <c:v>2132949.6</c:v>
                </c:pt>
                <c:pt idx="3">
                  <c:v>1017427.6</c:v>
                </c:pt>
                <c:pt idx="4">
                  <c:v>2485139.7999999998</c:v>
                </c:pt>
                <c:pt idx="5">
                  <c:v>3383034.2</c:v>
                </c:pt>
                <c:pt idx="6">
                  <c:v>993296</c:v>
                </c:pt>
                <c:pt idx="7">
                  <c:v>2128530.6</c:v>
                </c:pt>
                <c:pt idx="8">
                  <c:v>1186684.8</c:v>
                </c:pt>
                <c:pt idx="9">
                  <c:v>2316634.4</c:v>
                </c:pt>
                <c:pt idx="10">
                  <c:v>2357162.4</c:v>
                </c:pt>
                <c:pt idx="11">
                  <c:v>4559536.4000000004</c:v>
                </c:pt>
                <c:pt idx="12">
                  <c:v>1252506.6000000001</c:v>
                </c:pt>
                <c:pt idx="13">
                  <c:v>1436587.4</c:v>
                </c:pt>
                <c:pt idx="14">
                  <c:v>3482541.2</c:v>
                </c:pt>
                <c:pt idx="15">
                  <c:v>1708130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C2-45EC-99CD-3C0BA66B83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457728"/>
        <c:axId val="148467712"/>
      </c:lineChart>
      <c:lineChart>
        <c:grouping val="standard"/>
        <c:varyColors val="0"/>
        <c:ser>
          <c:idx val="1"/>
          <c:order val="1"/>
          <c:tx>
            <c:strRef>
              <c:f>Ludność!$I$5</c:f>
              <c:strCache>
                <c:ptCount val="1"/>
                <c:pt idx="0">
                  <c:v>punkty [prawa oś]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Ludność!$B$7:$B$22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OPOLSKIE</c:v>
                </c:pt>
                <c:pt idx="7">
                  <c:v>PODKARPACKIE</c:v>
                </c:pt>
                <c:pt idx="8">
                  <c:v>PODLASKIE</c:v>
                </c:pt>
                <c:pt idx="9">
                  <c:v>POMORSKIE</c:v>
                </c:pt>
                <c:pt idx="10">
                  <c:v>MAZOWIECKI REGIONALNY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Ludność!$I$7:$I$22</c:f>
              <c:numCache>
                <c:formatCode>0</c:formatCode>
                <c:ptCount val="16"/>
                <c:pt idx="0">
                  <c:v>64.247671791086233</c:v>
                </c:pt>
                <c:pt idx="1">
                  <c:v>46.541986485441683</c:v>
                </c:pt>
                <c:pt idx="2">
                  <c:v>47.595439209797576</c:v>
                </c:pt>
                <c:pt idx="3">
                  <c:v>23.504629657133663</c:v>
                </c:pt>
                <c:pt idx="4">
                  <c:v>55.20133764525167</c:v>
                </c:pt>
                <c:pt idx="5">
                  <c:v>74.59226224270779</c:v>
                </c:pt>
                <c:pt idx="6">
                  <c:v>22.983483700531227</c:v>
                </c:pt>
                <c:pt idx="7">
                  <c:v>47.500006499897452</c:v>
                </c:pt>
                <c:pt idx="8">
                  <c:v>27.159907608278644</c:v>
                </c:pt>
                <c:pt idx="9">
                  <c:v>51.562295564507892</c:v>
                </c:pt>
                <c:pt idx="10">
                  <c:v>52.437538123193761</c:v>
                </c:pt>
                <c:pt idx="11">
                  <c:v>100</c:v>
                </c:pt>
                <c:pt idx="12">
                  <c:v>28.581394991058662</c:v>
                </c:pt>
                <c:pt idx="13">
                  <c:v>32.556803360505441</c:v>
                </c:pt>
                <c:pt idx="14">
                  <c:v>76.741215097207231</c:v>
                </c:pt>
                <c:pt idx="15">
                  <c:v>38.42103648368473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C2-45EC-99CD-3C0BA66B83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476288"/>
        <c:axId val="148470016"/>
      </c:lineChart>
      <c:catAx>
        <c:axId val="148457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8467712"/>
        <c:crosses val="autoZero"/>
        <c:auto val="1"/>
        <c:lblAlgn val="ctr"/>
        <c:lblOffset val="100"/>
        <c:noMultiLvlLbl val="0"/>
      </c:catAx>
      <c:valAx>
        <c:axId val="148467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</a:t>
                </a:r>
                <a:r>
                  <a:rPr lang="pl-PL" baseline="0"/>
                  <a:t> ludności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4.5173206686176179E-3"/>
              <c:y val="0.2266535996305182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8457728"/>
        <c:crosses val="autoZero"/>
        <c:crossBetween val="between"/>
        <c:dispUnits>
          <c:builtInUnit val="millions"/>
          <c:dispUnits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</c:dispUnitsLbl>
        </c:dispUnits>
      </c:valAx>
      <c:valAx>
        <c:axId val="148470016"/>
        <c:scaling>
          <c:orientation val="minMax"/>
          <c:max val="10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Przyznane</a:t>
                </a:r>
                <a:r>
                  <a:rPr lang="pl-PL" baseline="0"/>
                  <a:t> punkty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8476288"/>
        <c:crosses val="max"/>
        <c:crossBetween val="between"/>
      </c:valAx>
      <c:catAx>
        <c:axId val="1484762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4700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1424526795261704"/>
          <c:y val="3.1413612565445025E-2"/>
          <c:w val="0.54664173922704107"/>
          <c:h val="6.09760365320188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C6CF-100E-4282-99D2-E6CACD87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30</Pages>
  <Words>6611</Words>
  <Characters>39669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Kajma</dc:creator>
  <cp:lastModifiedBy>MIIR</cp:lastModifiedBy>
  <cp:revision>13</cp:revision>
  <cp:lastPrinted>2019-10-04T14:37:00Z</cp:lastPrinted>
  <dcterms:created xsi:type="dcterms:W3CDTF">2020-11-10T06:47:00Z</dcterms:created>
  <dcterms:modified xsi:type="dcterms:W3CDTF">2020-11-10T12:05:00Z</dcterms:modified>
</cp:coreProperties>
</file>