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C1" w:rsidRDefault="000853C6" w:rsidP="00967A3B">
      <w:pPr>
        <w:jc w:val="center"/>
        <w:rPr>
          <w:b/>
          <w:u w:val="single"/>
        </w:rPr>
      </w:pPr>
      <w:r w:rsidRPr="00967A3B">
        <w:rPr>
          <w:b/>
          <w:u w:val="single"/>
        </w:rPr>
        <w:t>Bon mieszkaniowy</w:t>
      </w:r>
    </w:p>
    <w:p w:rsidR="00493CB8" w:rsidRPr="00967A3B" w:rsidRDefault="00493CB8" w:rsidP="00967A3B">
      <w:pPr>
        <w:jc w:val="center"/>
        <w:rPr>
          <w:b/>
          <w:u w:val="single"/>
        </w:rPr>
      </w:pPr>
    </w:p>
    <w:p w:rsidR="00493CB8" w:rsidRDefault="00493CB8">
      <w:r>
        <w:t>Problem</w:t>
      </w:r>
      <w:r w:rsidR="00CA4CBC">
        <w:t>y mieszkaniowe są</w:t>
      </w:r>
      <w:r>
        <w:t xml:space="preserve"> istotną barierą dzietności w Polsce. </w:t>
      </w:r>
      <w:r w:rsidR="00CA4CBC">
        <w:t>Potrzebne jest wprowadzenie kilku instrumentów dla rodzin na różnych etapach rozwoju . Rozpoczynamy od wsparcia rodzin</w:t>
      </w:r>
      <w:r w:rsidR="003E08D4">
        <w:t>,</w:t>
      </w:r>
      <w:r w:rsidR="00CA4CBC">
        <w:t xml:space="preserve"> które mogą urodzić 3. </w:t>
      </w:r>
      <w:r w:rsidR="003E08D4">
        <w:t>d</w:t>
      </w:r>
      <w:r w:rsidR="00CA4CBC">
        <w:t>ziecko i kolejne</w:t>
      </w:r>
      <w:r w:rsidR="003E08D4">
        <w:t>.</w:t>
      </w:r>
    </w:p>
    <w:p w:rsidR="000853C6" w:rsidRDefault="00CA4CBC">
      <w:r>
        <w:t xml:space="preserve">1. </w:t>
      </w:r>
      <w:r w:rsidR="000853C6">
        <w:t xml:space="preserve">Bon mieszkaniowy – transfer w formie bonu na cel mieszkaniowy (na zakup mieszkania na rynku pierwotnym </w:t>
      </w:r>
      <w:r w:rsidR="000853C6" w:rsidRPr="00967A3B">
        <w:rPr>
          <w:u w:val="single"/>
        </w:rPr>
        <w:t>oraz wtórnym</w:t>
      </w:r>
      <w:r w:rsidR="000853C6">
        <w:t>, budowę</w:t>
      </w:r>
      <w:r w:rsidR="00757EB9">
        <w:t>/rozbudowę</w:t>
      </w:r>
      <w:r w:rsidR="000853C6">
        <w:t xml:space="preserve"> własnego domu) d</w:t>
      </w:r>
      <w:r w:rsidR="003E08D4">
        <w:t>la</w:t>
      </w:r>
      <w:r w:rsidR="000853C6">
        <w:t xml:space="preserve"> rodzin </w:t>
      </w:r>
      <w:r w:rsidR="00757EB9">
        <w:t xml:space="preserve">z </w:t>
      </w:r>
      <w:r w:rsidR="00E534E9">
        <w:t>trójk</w:t>
      </w:r>
      <w:r w:rsidR="00757EB9">
        <w:t>ą i</w:t>
      </w:r>
      <w:r w:rsidR="000853C6">
        <w:t xml:space="preserve"> większą liczbą dzieci</w:t>
      </w:r>
      <w:r w:rsidR="00E534E9">
        <w:t xml:space="preserve"> (inne opcje, bardziej kosztowne dla rodzin w dwójką)</w:t>
      </w:r>
      <w:r w:rsidR="003E08D4">
        <w:t>.</w:t>
      </w:r>
    </w:p>
    <w:p w:rsidR="000853C6" w:rsidRDefault="000853C6">
      <w:r>
        <w:t>2. Bon może być wydany przez ZUS na podstawie numeru PESEL dziecka (1 raz na każde kolejne dziecko)</w:t>
      </w:r>
      <w:r w:rsidR="003E08D4">
        <w:t>- podobny mechanizm jak w przypadku bonu turystycznego.</w:t>
      </w:r>
    </w:p>
    <w:p w:rsidR="000853C6" w:rsidRDefault="000853C6">
      <w:r>
        <w:t>3. Bon może być zrealizowany u developera lub w banku udzielającym kredytu hipotecznego.</w:t>
      </w:r>
    </w:p>
    <w:p w:rsidR="000853C6" w:rsidRDefault="003E08D4">
      <w:r>
        <w:t>4. Bon musi być uznany przez</w:t>
      </w:r>
      <w:r w:rsidR="000853C6">
        <w:t xml:space="preserve"> banki jako wkład własny (pomniejsza wartość kredytu)</w:t>
      </w:r>
      <w:r>
        <w:t>.</w:t>
      </w:r>
    </w:p>
    <w:p w:rsidR="00F81CC6" w:rsidRDefault="000853C6">
      <w:r>
        <w:t xml:space="preserve">5. Bon może być wydany na mieszkanie, dom o cenie m2 nie wyższej niż średnia w danym województwie + </w:t>
      </w:r>
      <w:r w:rsidR="009E4D4E">
        <w:t>10</w:t>
      </w:r>
      <w:r>
        <w:t>%</w:t>
      </w:r>
      <w:r w:rsidR="003E08D4">
        <w:t>.</w:t>
      </w:r>
    </w:p>
    <w:p w:rsidR="00967A3B" w:rsidRDefault="00967A3B">
      <w:r>
        <w:t>6. Brak kryterium dochodowego</w:t>
      </w:r>
      <w:r w:rsidR="00757EB9">
        <w:t xml:space="preserve"> ( w celach komunikacyjnych trzeba odciąć osoby najbogatsze – np. o dochodzie powyżej 5300 zł  na osobę)</w:t>
      </w:r>
      <w:r w:rsidR="003E08D4">
        <w:t>.</w:t>
      </w:r>
    </w:p>
    <w:tbl>
      <w:tblPr>
        <w:tblW w:w="9180" w:type="dxa"/>
        <w:tblInd w:w="-113" w:type="dxa"/>
        <w:tblLayout w:type="fixed"/>
        <w:tblLook w:val="00BF" w:firstRow="1" w:lastRow="0" w:firstColumn="1" w:lastColumn="0" w:noHBand="0" w:noVBand="0"/>
      </w:tblPr>
      <w:tblGrid>
        <w:gridCol w:w="2943"/>
        <w:gridCol w:w="1985"/>
        <w:gridCol w:w="1843"/>
        <w:gridCol w:w="2409"/>
      </w:tblGrid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44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Dla rodzin</w:t>
            </w:r>
            <w:r w:rsidRPr="00987A6A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="00162E76">
              <w:rPr>
                <w:rFonts w:ascii="Helv" w:hAnsi="Helv" w:cs="Helv"/>
                <w:color w:val="000000"/>
                <w:sz w:val="20"/>
                <w:szCs w:val="20"/>
              </w:rPr>
              <w:t xml:space="preserve"> przy urodzeniu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4E9" w:rsidRPr="00987A6A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Wariant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E9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Wariant 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E9" w:rsidRPr="00987A6A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Wariant III</w:t>
            </w:r>
          </w:p>
        </w:tc>
      </w:tr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16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Drugiego dziecka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</w:tr>
      <w:tr w:rsidR="00E534E9" w:rsidTr="00162E76">
        <w:trPr>
          <w:trHeight w:val="2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16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Trzeciego dziecka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70</w:t>
            </w:r>
            <w:r w:rsidRPr="00987A6A">
              <w:rPr>
                <w:rFonts w:ascii="Helv" w:hAnsi="Helv" w:cs="Helv"/>
                <w:color w:val="000000"/>
                <w:sz w:val="20"/>
                <w:szCs w:val="20"/>
              </w:rPr>
              <w:t xml:space="preserve"> tys.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</w:t>
            </w:r>
            <w:r w:rsidR="005F0A0D">
              <w:rPr>
                <w:rFonts w:ascii="Helv" w:hAnsi="Helv" w:cs="Helv"/>
                <w:color w:val="000000"/>
                <w:sz w:val="20"/>
                <w:szCs w:val="20"/>
              </w:rPr>
              <w:t>5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+50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</w:tr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16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Czwartego dziecka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987A6A">
              <w:rPr>
                <w:rFonts w:ascii="Helv" w:hAnsi="Helv" w:cs="Helv"/>
                <w:color w:val="000000"/>
                <w:sz w:val="20"/>
                <w:szCs w:val="20"/>
              </w:rPr>
              <w:t>+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70</w:t>
            </w:r>
            <w:r w:rsidRPr="00987A6A">
              <w:rPr>
                <w:rFonts w:ascii="Helv" w:hAnsi="Helv" w:cs="Helv"/>
                <w:color w:val="000000"/>
                <w:sz w:val="20"/>
                <w:szCs w:val="20"/>
              </w:rPr>
              <w:t xml:space="preserve"> tys.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</w:t>
            </w:r>
            <w:r w:rsidR="005F0A0D">
              <w:rPr>
                <w:rFonts w:ascii="Helv" w:hAnsi="Helv" w:cs="Helv"/>
                <w:color w:val="000000"/>
                <w:sz w:val="20"/>
                <w:szCs w:val="20"/>
              </w:rPr>
              <w:t>5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+50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</w:tr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Max wsparcie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140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</w:t>
            </w:r>
            <w:r w:rsidR="005F0A0D">
              <w:rPr>
                <w:rFonts w:ascii="Helv" w:hAnsi="Helv" w:cs="Helv"/>
                <w:color w:val="000000"/>
                <w:sz w:val="20"/>
                <w:szCs w:val="20"/>
              </w:rPr>
              <w:t>0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987A6A" w:rsidRDefault="00E534E9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tys</w:t>
            </w:r>
            <w:proofErr w:type="spellEnd"/>
          </w:p>
        </w:tc>
      </w:tr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E5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Łączny koszt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AB45A6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4,5 mld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color w:val="000000"/>
                <w:sz w:val="20"/>
                <w:szCs w:val="20"/>
              </w:rPr>
              <w:t>3,2 mld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5,5 mld</w:t>
            </w:r>
          </w:p>
        </w:tc>
      </w:tr>
      <w:tr w:rsidR="00E534E9" w:rsidTr="00162E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E5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Liczba beneficjentów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55 </w:t>
            </w:r>
            <w:proofErr w:type="spellStart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tys</w:t>
            </w:r>
            <w:proofErr w:type="spellEnd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55 </w:t>
            </w:r>
            <w:proofErr w:type="spellStart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tys</w:t>
            </w:r>
            <w:proofErr w:type="spellEnd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rodzin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E9" w:rsidRPr="005F0A0D" w:rsidRDefault="005F0A0D" w:rsidP="005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102 </w:t>
            </w:r>
            <w:proofErr w:type="spellStart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>tys</w:t>
            </w:r>
            <w:proofErr w:type="spellEnd"/>
            <w:r w:rsidRPr="005F0A0D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rodzin</w:t>
            </w:r>
          </w:p>
        </w:tc>
      </w:tr>
    </w:tbl>
    <w:p w:rsidR="00162E76" w:rsidRDefault="005F0A0D" w:rsidP="00162E76">
      <w:pPr>
        <w:spacing w:after="0" w:line="240" w:lineRule="auto"/>
        <w:rPr>
          <w:sz w:val="18"/>
          <w:szCs w:val="18"/>
        </w:rPr>
      </w:pPr>
      <w:r w:rsidRPr="00162E76">
        <w:rPr>
          <w:sz w:val="18"/>
          <w:szCs w:val="18"/>
          <w:u w:val="single"/>
        </w:rPr>
        <w:t>Zastrzeżeni</w:t>
      </w:r>
      <w:r w:rsidR="00162E76">
        <w:rPr>
          <w:sz w:val="18"/>
          <w:szCs w:val="18"/>
          <w:u w:val="single"/>
        </w:rPr>
        <w:t>a</w:t>
      </w:r>
      <w:r w:rsidRPr="00162E76">
        <w:rPr>
          <w:sz w:val="18"/>
          <w:szCs w:val="18"/>
        </w:rPr>
        <w:t xml:space="preserve">: </w:t>
      </w:r>
      <w:r w:rsidR="00162E76">
        <w:rPr>
          <w:sz w:val="18"/>
          <w:szCs w:val="18"/>
        </w:rPr>
        <w:t>a.</w:t>
      </w:r>
      <w:r w:rsidR="003E08D4">
        <w:rPr>
          <w:sz w:val="18"/>
          <w:szCs w:val="18"/>
        </w:rPr>
        <w:t xml:space="preserve"> </w:t>
      </w:r>
      <w:r w:rsidRPr="00162E76">
        <w:rPr>
          <w:sz w:val="18"/>
          <w:szCs w:val="18"/>
        </w:rPr>
        <w:t xml:space="preserve">Wariant I </w:t>
      </w:r>
      <w:proofErr w:type="spellStart"/>
      <w:r w:rsidRPr="00162E76">
        <w:rPr>
          <w:sz w:val="18"/>
          <w:szCs w:val="18"/>
        </w:rPr>
        <w:t>i</w:t>
      </w:r>
      <w:proofErr w:type="spellEnd"/>
      <w:r w:rsidRPr="00162E76">
        <w:rPr>
          <w:sz w:val="18"/>
          <w:szCs w:val="18"/>
        </w:rPr>
        <w:t xml:space="preserve"> II można rozszerzyć w drugim etapie o rodziny z dwójką dzieci. </w:t>
      </w:r>
    </w:p>
    <w:p w:rsidR="00162E76" w:rsidRDefault="00162E76" w:rsidP="00162E7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b. </w:t>
      </w:r>
      <w:r w:rsidR="005F0A0D" w:rsidRPr="00162E76">
        <w:rPr>
          <w:sz w:val="18"/>
          <w:szCs w:val="18"/>
        </w:rPr>
        <w:t xml:space="preserve">Założyliśmy 100% wykorzystania bonu przez osoby uprawnione, co w praktyce jest niemożliwe, ale na tym etapie trudne do oszacowania. </w:t>
      </w:r>
    </w:p>
    <w:p w:rsidR="005F0A0D" w:rsidRPr="00162E76" w:rsidRDefault="00162E76" w:rsidP="00162E7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c. </w:t>
      </w:r>
      <w:r w:rsidR="005F0A0D" w:rsidRPr="00162E76">
        <w:rPr>
          <w:sz w:val="18"/>
          <w:szCs w:val="18"/>
        </w:rPr>
        <w:t xml:space="preserve">Z wyliczeń Min Rozwoju wynika że </w:t>
      </w:r>
      <w:r w:rsidR="003E08D4">
        <w:rPr>
          <w:sz w:val="18"/>
          <w:szCs w:val="18"/>
        </w:rPr>
        <w:t xml:space="preserve">tylko </w:t>
      </w:r>
      <w:r w:rsidR="005F0A0D" w:rsidRPr="00162E76">
        <w:rPr>
          <w:sz w:val="18"/>
          <w:szCs w:val="18"/>
        </w:rPr>
        <w:t>ok</w:t>
      </w:r>
      <w:r w:rsidR="003E08D4">
        <w:rPr>
          <w:sz w:val="18"/>
          <w:szCs w:val="18"/>
        </w:rPr>
        <w:t>.</w:t>
      </w:r>
      <w:r w:rsidR="005F0A0D" w:rsidRPr="00162E76">
        <w:rPr>
          <w:sz w:val="18"/>
          <w:szCs w:val="18"/>
        </w:rPr>
        <w:t xml:space="preserve"> 10% uprawnionych korzysta z programu (dane z </w:t>
      </w:r>
      <w:proofErr w:type="spellStart"/>
      <w:r w:rsidR="005F0A0D" w:rsidRPr="00162E76">
        <w:rPr>
          <w:sz w:val="18"/>
          <w:szCs w:val="18"/>
        </w:rPr>
        <w:t>MdM</w:t>
      </w:r>
      <w:proofErr w:type="spellEnd"/>
      <w:r w:rsidR="005F0A0D" w:rsidRPr="00162E76">
        <w:rPr>
          <w:sz w:val="18"/>
          <w:szCs w:val="18"/>
        </w:rPr>
        <w:t>)</w:t>
      </w:r>
    </w:p>
    <w:p w:rsidR="00162E76" w:rsidRPr="00162E76" w:rsidRDefault="00162E76" w:rsidP="00162E76">
      <w:pPr>
        <w:spacing w:after="0" w:line="240" w:lineRule="auto"/>
        <w:rPr>
          <w:sz w:val="18"/>
          <w:szCs w:val="18"/>
        </w:rPr>
      </w:pPr>
      <w:r w:rsidRPr="00162E76">
        <w:rPr>
          <w:sz w:val="18"/>
          <w:szCs w:val="18"/>
          <w:u w:val="single"/>
        </w:rPr>
        <w:t>Kryterium</w:t>
      </w:r>
      <w:r w:rsidRPr="00162E76">
        <w:rPr>
          <w:sz w:val="18"/>
          <w:szCs w:val="18"/>
        </w:rPr>
        <w:t xml:space="preserve"> – </w:t>
      </w:r>
      <w:proofErr w:type="spellStart"/>
      <w:r w:rsidRPr="00162E76">
        <w:rPr>
          <w:sz w:val="18"/>
          <w:szCs w:val="18"/>
        </w:rPr>
        <w:t>overcrowding</w:t>
      </w:r>
      <w:proofErr w:type="spellEnd"/>
      <w:r w:rsidRPr="00162E76">
        <w:rPr>
          <w:sz w:val="18"/>
          <w:szCs w:val="18"/>
        </w:rPr>
        <w:t xml:space="preserve"> (wg badań Eurostatu) , czyli nie są uprawnione rodziny w których liczba izb mieszkalnych przekracza w uproszczeniu oddzielny pokój dla każdego dziecka pow. 15 </w:t>
      </w:r>
      <w:proofErr w:type="spellStart"/>
      <w:r w:rsidRPr="00162E76">
        <w:rPr>
          <w:sz w:val="18"/>
          <w:szCs w:val="18"/>
        </w:rPr>
        <w:t>r.ż</w:t>
      </w:r>
      <w:proofErr w:type="spellEnd"/>
      <w:r w:rsidRPr="00162E76">
        <w:rPr>
          <w:sz w:val="18"/>
          <w:szCs w:val="18"/>
        </w:rPr>
        <w:t xml:space="preserve"> + </w:t>
      </w:r>
      <w:proofErr w:type="spellStart"/>
      <w:r w:rsidRPr="00162E76">
        <w:rPr>
          <w:sz w:val="18"/>
          <w:szCs w:val="18"/>
        </w:rPr>
        <w:t>pokó</w:t>
      </w:r>
      <w:r>
        <w:rPr>
          <w:sz w:val="18"/>
          <w:szCs w:val="18"/>
        </w:rPr>
        <w:t>rere</w:t>
      </w:r>
      <w:r w:rsidRPr="00162E76">
        <w:rPr>
          <w:sz w:val="18"/>
          <w:szCs w:val="18"/>
        </w:rPr>
        <w:t>j</w:t>
      </w:r>
      <w:proofErr w:type="spellEnd"/>
      <w:r w:rsidRPr="00162E76">
        <w:rPr>
          <w:sz w:val="18"/>
          <w:szCs w:val="18"/>
        </w:rPr>
        <w:t xml:space="preserve"> dla rodziców</w:t>
      </w:r>
    </w:p>
    <w:p w:rsidR="00F81CC6" w:rsidRPr="00987A6A" w:rsidRDefault="000853C6">
      <w:pPr>
        <w:rPr>
          <w:b/>
          <w:u w:val="single"/>
        </w:rPr>
      </w:pPr>
      <w:r w:rsidRPr="00987A6A">
        <w:rPr>
          <w:b/>
          <w:u w:val="single"/>
        </w:rPr>
        <w:t>Uzasadnienie:</w:t>
      </w:r>
    </w:p>
    <w:p w:rsidR="000853C6" w:rsidRDefault="000853C6" w:rsidP="000853C6">
      <w:pPr>
        <w:pStyle w:val="Akapitzlist"/>
        <w:numPr>
          <w:ilvl w:val="0"/>
          <w:numId w:val="1"/>
        </w:numPr>
      </w:pPr>
      <w:r>
        <w:t xml:space="preserve">Zła sytuacja mieszkaniowa jest jedną z głównych barier dzietności, w szczególności urodzeń kolejnych (drugich i trzecich, </w:t>
      </w:r>
      <w:r w:rsidR="00CA4CBC">
        <w:t xml:space="preserve">najbardziej istotnych </w:t>
      </w:r>
      <w:r w:rsidR="003867A5">
        <w:t>z</w:t>
      </w:r>
      <w:r w:rsidR="00CA4CBC">
        <w:t xml:space="preserve"> pkt widzenia demograf</w:t>
      </w:r>
      <w:r w:rsidR="003867A5">
        <w:t>ii</w:t>
      </w:r>
      <w:r>
        <w:t>)</w:t>
      </w:r>
      <w:r w:rsidR="00CA4CBC">
        <w:t>.</w:t>
      </w:r>
    </w:p>
    <w:p w:rsidR="00CA4CBC" w:rsidRDefault="003867A5" w:rsidP="000853C6">
      <w:pPr>
        <w:pStyle w:val="Akapitzlist"/>
        <w:numPr>
          <w:ilvl w:val="0"/>
          <w:numId w:val="1"/>
        </w:numPr>
      </w:pPr>
      <w:r>
        <w:t>Wsparcie drugich</w:t>
      </w:r>
      <w:r w:rsidR="00CA4CBC">
        <w:t xml:space="preserve"> </w:t>
      </w:r>
      <w:r>
        <w:t>u</w:t>
      </w:r>
      <w:r w:rsidR="00CA4CBC">
        <w:t>rodzeń jest na moment obecny zbyt kosztowne.</w:t>
      </w:r>
    </w:p>
    <w:p w:rsidR="00CA4CBC" w:rsidRDefault="00CA4CBC" w:rsidP="000853C6">
      <w:pPr>
        <w:pStyle w:val="Akapitzlist"/>
        <w:numPr>
          <w:ilvl w:val="0"/>
          <w:numId w:val="1"/>
        </w:numPr>
      </w:pPr>
      <w:r>
        <w:t xml:space="preserve">Wsparcie od </w:t>
      </w:r>
      <w:r w:rsidR="003867A5">
        <w:t>trzeciego d</w:t>
      </w:r>
      <w:r>
        <w:t>ziecka pozwoli zachęcić ostatnie roczniki kończącego się wyżu</w:t>
      </w:r>
      <w:r w:rsidR="003867A5">
        <w:t xml:space="preserve"> demograficznego</w:t>
      </w:r>
      <w:r>
        <w:t xml:space="preserve"> do urodzenia jeszcze jednego dziecka.</w:t>
      </w:r>
    </w:p>
    <w:p w:rsidR="00827ACE" w:rsidRDefault="00827ACE" w:rsidP="000853C6">
      <w:pPr>
        <w:pStyle w:val="Akapitzlist"/>
        <w:numPr>
          <w:ilvl w:val="0"/>
          <w:numId w:val="1"/>
        </w:numPr>
      </w:pPr>
      <w:r>
        <w:t>Dla istotnego zwiększenia dzietności potrzebne jest wdrożenie strategii demograficznej, krok po kroku – zaczynając od najważniejszych i relatywnie najłatwiejszych do realizacji</w:t>
      </w:r>
      <w:r w:rsidR="003867A5">
        <w:t xml:space="preserve"> instrumentów</w:t>
      </w:r>
    </w:p>
    <w:p w:rsidR="000853C6" w:rsidRDefault="000853C6" w:rsidP="000853C6">
      <w:pPr>
        <w:pStyle w:val="Akapitzlist"/>
        <w:numPr>
          <w:ilvl w:val="0"/>
          <w:numId w:val="1"/>
        </w:numPr>
      </w:pPr>
      <w:r>
        <w:t>Dla istotnego zwiększenia dzietności potrzebny jest silny instrument działający szybko</w:t>
      </w:r>
      <w:r>
        <w:rPr>
          <w:rStyle w:val="Odwoanieprzypisudolnego"/>
        </w:rPr>
        <w:footnoteReference w:id="1"/>
      </w:r>
    </w:p>
    <w:p w:rsidR="00967A3B" w:rsidRDefault="00827ACE" w:rsidP="000853C6">
      <w:pPr>
        <w:pStyle w:val="Akapitzlist"/>
        <w:numPr>
          <w:ilvl w:val="0"/>
          <w:numId w:val="1"/>
        </w:numPr>
      </w:pPr>
      <w:r>
        <w:t xml:space="preserve">Potrzebny instrument działający elastycznie - na rynku pierwotnym </w:t>
      </w:r>
      <w:r w:rsidRPr="003867A5">
        <w:rPr>
          <w:u w:val="single"/>
        </w:rPr>
        <w:t>i wtórnym</w:t>
      </w:r>
      <w:r>
        <w:t>. Wyłączenie rynku wtórnego będzie oznaczać</w:t>
      </w:r>
      <w:r w:rsidR="00967A3B">
        <w:t xml:space="preserve"> :</w:t>
      </w:r>
    </w:p>
    <w:p w:rsidR="00827ACE" w:rsidRDefault="00827ACE" w:rsidP="00967A3B">
      <w:pPr>
        <w:pStyle w:val="Akapitzlist"/>
        <w:numPr>
          <w:ilvl w:val="1"/>
          <w:numId w:val="1"/>
        </w:numPr>
      </w:pPr>
      <w:r>
        <w:lastRenderedPageBreak/>
        <w:t xml:space="preserve"> dalej postępującą depopulację na terenach, na których dzisiaj oferta rynku pierwotnego jest ograniczona</w:t>
      </w:r>
      <w:r w:rsidR="00967A3B">
        <w:t xml:space="preserve"> czyli w tzw. Polsce powiatowej</w:t>
      </w:r>
      <w:r>
        <w:t xml:space="preserve"> (przykładowa rodzina z Sędziszowa Małopolskiego</w:t>
      </w:r>
      <w:r w:rsidR="003867A5">
        <w:t>,</w:t>
      </w:r>
      <w:r>
        <w:t xml:space="preserve"> gdzie brakuje oferty developerskiej zdecyduje się na </w:t>
      </w:r>
      <w:r w:rsidR="003867A5">
        <w:t>trzecie d</w:t>
      </w:r>
      <w:r>
        <w:t xml:space="preserve">ziecko, skorzysta </w:t>
      </w:r>
      <w:r w:rsidR="003867A5">
        <w:t xml:space="preserve">z </w:t>
      </w:r>
      <w:r>
        <w:t>bonu i przeprowadzi się do Rzeszowa)</w:t>
      </w:r>
      <w:r w:rsidR="004405FA">
        <w:t xml:space="preserve"> lub wykluczenie tych rodzin z programu</w:t>
      </w:r>
      <w:r w:rsidR="00CA4CBC">
        <w:t>.</w:t>
      </w:r>
    </w:p>
    <w:p w:rsidR="00CA4CBC" w:rsidRDefault="00CA4CBC" w:rsidP="00967A3B">
      <w:pPr>
        <w:pStyle w:val="Akapitzlist"/>
        <w:numPr>
          <w:ilvl w:val="1"/>
          <w:numId w:val="1"/>
        </w:numPr>
      </w:pPr>
      <w:r>
        <w:t>Wzrost cen na rynku pierwotnym (rosnąca bańka mieszkaniowa)</w:t>
      </w:r>
    </w:p>
    <w:p w:rsidR="004405FA" w:rsidRDefault="004405FA" w:rsidP="00162E76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A3B" w:rsidTr="00967A3B">
        <w:tc>
          <w:tcPr>
            <w:tcW w:w="4531" w:type="dxa"/>
          </w:tcPr>
          <w:p w:rsidR="00967A3B" w:rsidRDefault="00162E76" w:rsidP="00CA4CBC">
            <w:pPr>
              <w:jc w:val="center"/>
            </w:pPr>
            <w:r>
              <w:t>Zalety</w:t>
            </w:r>
          </w:p>
        </w:tc>
        <w:tc>
          <w:tcPr>
            <w:tcW w:w="4531" w:type="dxa"/>
          </w:tcPr>
          <w:p w:rsidR="00967A3B" w:rsidRDefault="00967A3B" w:rsidP="00CA4CBC">
            <w:pPr>
              <w:jc w:val="center"/>
            </w:pPr>
            <w:r>
              <w:t>Wady</w:t>
            </w:r>
          </w:p>
        </w:tc>
      </w:tr>
      <w:tr w:rsidR="00967A3B" w:rsidTr="00967A3B">
        <w:tc>
          <w:tcPr>
            <w:tcW w:w="4531" w:type="dxa"/>
          </w:tcPr>
          <w:p w:rsidR="00967A3B" w:rsidRDefault="00967A3B" w:rsidP="00967A3B">
            <w:pPr>
              <w:pStyle w:val="Akapitzlist"/>
              <w:numPr>
                <w:ilvl w:val="0"/>
                <w:numId w:val="2"/>
              </w:numPr>
            </w:pPr>
            <w:r>
              <w:t>Silny, elastyczny instrument pro</w:t>
            </w:r>
            <w:r w:rsidR="003867A5">
              <w:t>-</w:t>
            </w:r>
            <w:bookmarkStart w:id="0" w:name="_GoBack"/>
            <w:bookmarkEnd w:id="0"/>
            <w:r>
              <w:t>demograficzny przeciwdziałający odkładaniu decyzji prokreacyjnych</w:t>
            </w:r>
            <w:r w:rsidR="007F5787">
              <w:t xml:space="preserve"> o drugim</w:t>
            </w:r>
            <w:r w:rsidR="00162E76">
              <w:t>/trzecim</w:t>
            </w:r>
            <w:r w:rsidR="007F5787">
              <w:t xml:space="preserve"> i kolejnych dzieciach</w:t>
            </w:r>
            <w:r>
              <w:t xml:space="preserve"> w czasie</w:t>
            </w:r>
          </w:p>
          <w:p w:rsidR="007F5787" w:rsidRDefault="007F5787" w:rsidP="00967A3B">
            <w:pPr>
              <w:pStyle w:val="Akapitzlist"/>
              <w:numPr>
                <w:ilvl w:val="0"/>
                <w:numId w:val="2"/>
              </w:numPr>
            </w:pPr>
            <w:r>
              <w:t xml:space="preserve">Instrument, który pozwala nabyć/powiększyć mieszkanie bez zwiększania zdolności kredytowej </w:t>
            </w:r>
          </w:p>
          <w:p w:rsidR="007F5787" w:rsidRDefault="007F5787" w:rsidP="00967A3B">
            <w:pPr>
              <w:pStyle w:val="Akapitzlist"/>
              <w:numPr>
                <w:ilvl w:val="0"/>
                <w:numId w:val="2"/>
              </w:numPr>
            </w:pPr>
            <w:r>
              <w:t>Pomaga nabyć dom</w:t>
            </w:r>
            <w:r w:rsidR="00162E76">
              <w:t>/mieszkanie na własność, co jest istotną potrzebą Polaków</w:t>
            </w:r>
          </w:p>
          <w:p w:rsidR="00967A3B" w:rsidRDefault="00967A3B" w:rsidP="00967A3B">
            <w:pPr>
              <w:pStyle w:val="Akapitzlist"/>
              <w:numPr>
                <w:ilvl w:val="0"/>
                <w:numId w:val="2"/>
              </w:numPr>
            </w:pPr>
            <w:r>
              <w:t>Wsparcie branży budowlano- mieszkaniowej</w:t>
            </w:r>
          </w:p>
        </w:tc>
        <w:tc>
          <w:tcPr>
            <w:tcW w:w="4531" w:type="dxa"/>
          </w:tcPr>
          <w:p w:rsidR="00967A3B" w:rsidRDefault="00967A3B" w:rsidP="00967A3B">
            <w:pPr>
              <w:pStyle w:val="Akapitzlist"/>
              <w:numPr>
                <w:ilvl w:val="0"/>
                <w:numId w:val="3"/>
              </w:numPr>
            </w:pPr>
            <w:r>
              <w:t xml:space="preserve">Nie rozwiązuje </w:t>
            </w:r>
            <w:r w:rsidR="007F5787">
              <w:t xml:space="preserve">problemu braku mieszkania „na start” dla młodych małżeństw lub ogranicza ich zakup mieszkania na kredyt do małych mieszkań, co skutkuje odkładaniem decyzji o 1. </w:t>
            </w:r>
            <w:r w:rsidR="00CA4CBC">
              <w:t>D</w:t>
            </w:r>
            <w:r w:rsidR="007F5787">
              <w:t>ziecku</w:t>
            </w:r>
          </w:p>
          <w:p w:rsidR="00CA4CBC" w:rsidRDefault="00CA4CBC" w:rsidP="00967A3B">
            <w:pPr>
              <w:pStyle w:val="Akapitzlist"/>
              <w:numPr>
                <w:ilvl w:val="0"/>
                <w:numId w:val="3"/>
              </w:numPr>
            </w:pPr>
            <w:r>
              <w:t>Wybór wariantu I lub II oznacza brak bezpośredniego wsparcia 2. Urodzeń – ważnych z pkt widzenia demograf.</w:t>
            </w:r>
          </w:p>
        </w:tc>
      </w:tr>
    </w:tbl>
    <w:p w:rsidR="00967A3B" w:rsidRDefault="00967A3B" w:rsidP="00967A3B"/>
    <w:sectPr w:rsidR="0096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90" w:rsidRDefault="00561590" w:rsidP="000853C6">
      <w:pPr>
        <w:spacing w:after="0" w:line="240" w:lineRule="auto"/>
      </w:pPr>
      <w:r>
        <w:separator/>
      </w:r>
    </w:p>
  </w:endnote>
  <w:endnote w:type="continuationSeparator" w:id="0">
    <w:p w:rsidR="00561590" w:rsidRDefault="00561590" w:rsidP="0008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90" w:rsidRDefault="00561590" w:rsidP="000853C6">
      <w:pPr>
        <w:spacing w:after="0" w:line="240" w:lineRule="auto"/>
      </w:pPr>
      <w:r>
        <w:separator/>
      </w:r>
    </w:p>
  </w:footnote>
  <w:footnote w:type="continuationSeparator" w:id="0">
    <w:p w:rsidR="00561590" w:rsidRDefault="00561590" w:rsidP="000853C6">
      <w:pPr>
        <w:spacing w:after="0" w:line="240" w:lineRule="auto"/>
      </w:pPr>
      <w:r>
        <w:continuationSeparator/>
      </w:r>
    </w:p>
  </w:footnote>
  <w:footnote w:id="1">
    <w:p w:rsidR="000853C6" w:rsidRDefault="000853C6">
      <w:pPr>
        <w:pStyle w:val="Tekstprzypisudolnego"/>
      </w:pPr>
      <w:r>
        <w:rPr>
          <w:rStyle w:val="Odwoanieprzypisudolnego"/>
        </w:rPr>
        <w:footnoteRef/>
      </w:r>
      <w:r>
        <w:t xml:space="preserve"> Kończy się w Polsce wyż z początku lat 80. – to ostatni moment aby zadziałać na względnie liczne roczniki kobiet aby urodziły jeszcze jedno dziecko</w:t>
      </w:r>
      <w:r w:rsidR="00827ACE">
        <w:t>. Liczba kobiet dynamicznie spada, to oznacza że podobne zwiększenie dzietności za kilka lat przyniesie mniejszy skutek (liczba urodzeń= liczba kobiet x dzietność)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1EC"/>
    <w:multiLevelType w:val="hybridMultilevel"/>
    <w:tmpl w:val="EF205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D1C65"/>
    <w:multiLevelType w:val="hybridMultilevel"/>
    <w:tmpl w:val="EFFE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4FF5"/>
    <w:multiLevelType w:val="hybridMultilevel"/>
    <w:tmpl w:val="9ECC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C6"/>
    <w:rsid w:val="000853C6"/>
    <w:rsid w:val="00162E76"/>
    <w:rsid w:val="003867A5"/>
    <w:rsid w:val="003E08D4"/>
    <w:rsid w:val="004405FA"/>
    <w:rsid w:val="004913C1"/>
    <w:rsid w:val="00493CB8"/>
    <w:rsid w:val="00561590"/>
    <w:rsid w:val="005F0A0D"/>
    <w:rsid w:val="00757EB9"/>
    <w:rsid w:val="007F5787"/>
    <w:rsid w:val="00827ACE"/>
    <w:rsid w:val="00967A3B"/>
    <w:rsid w:val="00987A6A"/>
    <w:rsid w:val="009E4D4E"/>
    <w:rsid w:val="00AB45A6"/>
    <w:rsid w:val="00CA4CBC"/>
    <w:rsid w:val="00E534E9"/>
    <w:rsid w:val="00EE3F0B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C6B2"/>
  <w15:chartTrackingRefBased/>
  <w15:docId w15:val="{A28FE37B-73F3-476E-8EB6-7BB4C62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3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3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3C6"/>
    <w:rPr>
      <w:vertAlign w:val="superscript"/>
    </w:rPr>
  </w:style>
  <w:style w:type="table" w:styleId="Tabela-Siatka">
    <w:name w:val="Table Grid"/>
    <w:basedOn w:val="Standardowy"/>
    <w:uiPriority w:val="39"/>
    <w:rsid w:val="0096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A1D0-0497-433B-8B73-B27DE814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Socha</dc:creator>
  <cp:keywords/>
  <dc:description/>
  <cp:lastModifiedBy>Barbara Socha</cp:lastModifiedBy>
  <cp:revision>4</cp:revision>
  <cp:lastPrinted>2020-09-15T15:24:00Z</cp:lastPrinted>
  <dcterms:created xsi:type="dcterms:W3CDTF">2020-09-15T07:12:00Z</dcterms:created>
  <dcterms:modified xsi:type="dcterms:W3CDTF">2020-09-15T15:29:00Z</dcterms:modified>
</cp:coreProperties>
</file>