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11D1A" w14:textId="77777777" w:rsidR="00533DA5" w:rsidRDefault="00533DA5" w:rsidP="00533DA5">
      <w:pP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533DA5">
        <w:rPr>
          <w:rFonts w:ascii="Tahoma" w:hAnsi="Tahoma" w:cs="Tahoma"/>
          <w:sz w:val="20"/>
          <w:szCs w:val="20"/>
        </w:rPr>
        <w:t>23.11.2020 r.</w:t>
      </w:r>
    </w:p>
    <w:p w14:paraId="25C65673" w14:textId="77777777" w:rsidR="002E27E1" w:rsidRPr="00CF6C2E" w:rsidRDefault="002E27E1" w:rsidP="00533DA5">
      <w:pPr>
        <w:rPr>
          <w:rFonts w:ascii="Tahoma" w:hAnsi="Tahoma" w:cs="Tahoma"/>
          <w:b/>
        </w:rPr>
      </w:pPr>
      <w:r w:rsidRPr="00CF6C2E">
        <w:rPr>
          <w:rFonts w:ascii="Tahoma" w:hAnsi="Tahoma" w:cs="Tahoma"/>
          <w:b/>
        </w:rPr>
        <w:t>NOTATKA  dot. NOTYFIKACJI POMOCY PUBL</w:t>
      </w:r>
      <w:r w:rsidR="00533DA5">
        <w:rPr>
          <w:rFonts w:ascii="Tahoma" w:hAnsi="Tahoma" w:cs="Tahoma"/>
          <w:b/>
        </w:rPr>
        <w:t>ICZNEJ</w:t>
      </w:r>
      <w:r w:rsidRPr="00CF6C2E">
        <w:rPr>
          <w:rFonts w:ascii="Tahoma" w:hAnsi="Tahoma" w:cs="Tahoma"/>
          <w:b/>
        </w:rPr>
        <w:t xml:space="preserve">  dla PL Szczecin – Goleniów </w:t>
      </w:r>
      <w:r w:rsidR="00533DA5">
        <w:rPr>
          <w:rFonts w:ascii="Tahoma" w:hAnsi="Tahoma" w:cs="Tahoma"/>
          <w:b/>
        </w:rPr>
        <w:br/>
      </w:r>
      <w:r w:rsidRPr="00CF6C2E">
        <w:rPr>
          <w:rFonts w:ascii="Tahoma" w:hAnsi="Tahoma" w:cs="Tahoma"/>
          <w:b/>
        </w:rPr>
        <w:t>Sp. z o.o. (PL SZZ)</w:t>
      </w:r>
    </w:p>
    <w:p w14:paraId="44EF31C0" w14:textId="77777777" w:rsidR="002E27E1" w:rsidRPr="00533DA5" w:rsidRDefault="002E27E1" w:rsidP="00AE7738">
      <w:pPr>
        <w:rPr>
          <w:rFonts w:ascii="Tahoma" w:hAnsi="Tahoma" w:cs="Tahoma"/>
          <w:b/>
          <w:sz w:val="20"/>
          <w:szCs w:val="20"/>
          <w:u w:val="single"/>
        </w:rPr>
      </w:pPr>
      <w:r w:rsidRPr="00533DA5">
        <w:rPr>
          <w:rFonts w:ascii="Tahoma" w:hAnsi="Tahoma" w:cs="Tahoma"/>
          <w:b/>
          <w:sz w:val="20"/>
          <w:szCs w:val="20"/>
          <w:u w:val="single"/>
        </w:rPr>
        <w:t>Konieczność notyfikacji:</w:t>
      </w:r>
    </w:p>
    <w:p w14:paraId="27546087" w14:textId="256B22D1" w:rsidR="0067443C" w:rsidRPr="00533DA5" w:rsidRDefault="00F12CF1" w:rsidP="00533DA5">
      <w:pPr>
        <w:numPr>
          <w:ilvl w:val="0"/>
          <w:numId w:val="1"/>
        </w:numPr>
        <w:tabs>
          <w:tab w:val="clear" w:pos="720"/>
        </w:tabs>
        <w:ind w:left="426"/>
        <w:jc w:val="both"/>
        <w:rPr>
          <w:rFonts w:ascii="Tahoma" w:hAnsi="Tahoma" w:cs="Tahoma"/>
          <w:sz w:val="20"/>
          <w:szCs w:val="20"/>
        </w:rPr>
      </w:pPr>
      <w:r>
        <w:rPr>
          <w:rFonts w:ascii="Tahoma" w:hAnsi="Tahoma" w:cs="Tahoma"/>
          <w:sz w:val="20"/>
          <w:szCs w:val="20"/>
        </w:rPr>
        <w:t>\</w:t>
      </w:r>
      <w:r w:rsidR="002E27E1" w:rsidRPr="00533DA5">
        <w:rPr>
          <w:rFonts w:ascii="Tahoma" w:hAnsi="Tahoma" w:cs="Tahoma"/>
          <w:sz w:val="20"/>
          <w:szCs w:val="20"/>
        </w:rPr>
        <w:t xml:space="preserve"> </w:t>
      </w:r>
      <w:r>
        <w:rPr>
          <w:rFonts w:ascii="Tahoma" w:hAnsi="Tahoma" w:cs="Tahoma"/>
          <w:sz w:val="20"/>
          <w:szCs w:val="20"/>
        </w:rPr>
        <w:t>W</w:t>
      </w:r>
      <w:r w:rsidR="002E27E1" w:rsidRPr="00533DA5">
        <w:rPr>
          <w:rFonts w:ascii="Tahoma" w:hAnsi="Tahoma" w:cs="Tahoma"/>
          <w:sz w:val="20"/>
          <w:szCs w:val="20"/>
        </w:rPr>
        <w:t xml:space="preserve"> ramach analiz strategicznych możliwości rozwojowych wybranych portów lotniczych </w:t>
      </w:r>
      <w:r w:rsidR="00533DA5">
        <w:rPr>
          <w:rFonts w:ascii="Tahoma" w:hAnsi="Tahoma" w:cs="Tahoma"/>
          <w:sz w:val="20"/>
          <w:szCs w:val="20"/>
        </w:rPr>
        <w:br/>
      </w:r>
      <w:r w:rsidR="002E27E1" w:rsidRPr="00533DA5">
        <w:rPr>
          <w:rFonts w:ascii="Tahoma" w:hAnsi="Tahoma" w:cs="Tahoma"/>
          <w:sz w:val="20"/>
          <w:szCs w:val="20"/>
        </w:rPr>
        <w:t>w kontekście uruchomienia CPK</w:t>
      </w:r>
      <w:r>
        <w:rPr>
          <w:rFonts w:ascii="Tahoma" w:hAnsi="Tahoma" w:cs="Tahoma"/>
          <w:sz w:val="20"/>
          <w:szCs w:val="20"/>
        </w:rPr>
        <w:t xml:space="preserve"> prowadzonych w 2018 r.</w:t>
      </w:r>
      <w:r w:rsidR="002E27E1" w:rsidRPr="00533DA5">
        <w:rPr>
          <w:rFonts w:ascii="Tahoma" w:hAnsi="Tahoma" w:cs="Tahoma"/>
          <w:sz w:val="20"/>
          <w:szCs w:val="20"/>
        </w:rPr>
        <w:t>, przyjęto, że PPL dokona dokapitalizowania PL SZZ jako tzw. „szprychy dowozowej” dla CPK</w:t>
      </w:r>
      <w:r w:rsidR="00B255CB">
        <w:rPr>
          <w:rFonts w:ascii="Tahoma" w:hAnsi="Tahoma" w:cs="Tahoma"/>
          <w:sz w:val="20"/>
          <w:szCs w:val="20"/>
        </w:rPr>
        <w:t>. Dokapitalizowanie ma na celu</w:t>
      </w:r>
      <w:r w:rsidR="0067443C" w:rsidRPr="00533DA5">
        <w:rPr>
          <w:rFonts w:ascii="Tahoma" w:hAnsi="Tahoma" w:cs="Tahoma"/>
          <w:sz w:val="20"/>
          <w:szCs w:val="20"/>
        </w:rPr>
        <w:t>u umożliwieni</w:t>
      </w:r>
      <w:r w:rsidR="00B255CB">
        <w:rPr>
          <w:rFonts w:ascii="Tahoma" w:hAnsi="Tahoma" w:cs="Tahoma"/>
          <w:sz w:val="20"/>
          <w:szCs w:val="20"/>
        </w:rPr>
        <w:t xml:space="preserve">e PL SZZ </w:t>
      </w:r>
      <w:r w:rsidR="0067443C" w:rsidRPr="00533DA5">
        <w:rPr>
          <w:rFonts w:ascii="Tahoma" w:hAnsi="Tahoma" w:cs="Tahoma"/>
          <w:sz w:val="20"/>
          <w:szCs w:val="20"/>
        </w:rPr>
        <w:t xml:space="preserve"> rozbudowy infrastruktury niezbędnej dla wypełnienia tej roli.</w:t>
      </w:r>
    </w:p>
    <w:p w14:paraId="6B07E359" w14:textId="77777777" w:rsidR="001A177C" w:rsidRPr="00533DA5" w:rsidRDefault="0067443C" w:rsidP="00533DA5">
      <w:pPr>
        <w:numPr>
          <w:ilvl w:val="0"/>
          <w:numId w:val="1"/>
        </w:numPr>
        <w:tabs>
          <w:tab w:val="clear" w:pos="720"/>
        </w:tabs>
        <w:spacing w:after="0"/>
        <w:ind w:left="426"/>
        <w:jc w:val="both"/>
        <w:rPr>
          <w:rFonts w:ascii="Tahoma" w:hAnsi="Tahoma" w:cs="Tahoma"/>
          <w:sz w:val="20"/>
          <w:szCs w:val="20"/>
        </w:rPr>
      </w:pPr>
      <w:r w:rsidRPr="00533DA5">
        <w:rPr>
          <w:rFonts w:ascii="Tahoma" w:hAnsi="Tahoma" w:cs="Tahoma"/>
          <w:sz w:val="20"/>
          <w:szCs w:val="20"/>
        </w:rPr>
        <w:t>Przygotowane w tym celu: biznesplan i ocena możliwości spełnienia TP</w:t>
      </w:r>
      <w:r w:rsidR="00AF20B9" w:rsidRPr="00533DA5">
        <w:rPr>
          <w:rFonts w:ascii="Tahoma" w:hAnsi="Tahoma" w:cs="Tahoma"/>
          <w:sz w:val="20"/>
          <w:szCs w:val="20"/>
        </w:rPr>
        <w:t>I</w:t>
      </w:r>
      <w:r w:rsidRPr="00533DA5">
        <w:rPr>
          <w:rFonts w:ascii="Tahoma" w:hAnsi="Tahoma" w:cs="Tahoma"/>
          <w:sz w:val="20"/>
          <w:szCs w:val="20"/>
        </w:rPr>
        <w:t xml:space="preserve"> potwierdziły, iż:</w:t>
      </w:r>
    </w:p>
    <w:p w14:paraId="28A9B20A" w14:textId="67F6B37B" w:rsidR="001A177C" w:rsidRPr="00533DA5" w:rsidRDefault="00CF1F93" w:rsidP="00533DA5">
      <w:pPr>
        <w:numPr>
          <w:ilvl w:val="1"/>
          <w:numId w:val="16"/>
        </w:numPr>
        <w:spacing w:after="0"/>
        <w:ind w:left="1134"/>
        <w:jc w:val="both"/>
        <w:rPr>
          <w:rFonts w:ascii="Tahoma" w:hAnsi="Tahoma" w:cs="Tahoma"/>
          <w:sz w:val="20"/>
          <w:szCs w:val="20"/>
        </w:rPr>
      </w:pPr>
      <w:r w:rsidRPr="00533DA5">
        <w:rPr>
          <w:rFonts w:ascii="Tahoma" w:hAnsi="Tahoma" w:cs="Tahoma"/>
          <w:b/>
          <w:sz w:val="20"/>
          <w:szCs w:val="20"/>
        </w:rPr>
        <w:t>PL Szczecin spełnia przesłanki przedsiębiorstwa w trudnej sytuacji</w:t>
      </w:r>
      <w:r w:rsidRPr="00533DA5">
        <w:rPr>
          <w:rFonts w:ascii="Tahoma" w:hAnsi="Tahoma" w:cs="Tahoma"/>
          <w:sz w:val="20"/>
          <w:szCs w:val="20"/>
        </w:rPr>
        <w:t xml:space="preserve"> </w:t>
      </w:r>
      <w:r w:rsidR="00F12CF1">
        <w:rPr>
          <w:rFonts w:ascii="Tahoma" w:hAnsi="Tahoma" w:cs="Tahoma"/>
          <w:sz w:val="20"/>
          <w:szCs w:val="20"/>
        </w:rPr>
        <w:t xml:space="preserve">Oznacza to, że </w:t>
      </w:r>
      <w:r w:rsidR="0067443C" w:rsidRPr="00533DA5">
        <w:rPr>
          <w:rFonts w:ascii="Tahoma" w:hAnsi="Tahoma" w:cs="Tahoma"/>
          <w:sz w:val="20"/>
          <w:szCs w:val="20"/>
        </w:rPr>
        <w:t xml:space="preserve">nie tylko nie spełnia </w:t>
      </w:r>
      <w:r w:rsidR="00F12CF1">
        <w:rPr>
          <w:rFonts w:ascii="Tahoma" w:hAnsi="Tahoma" w:cs="Tahoma"/>
          <w:sz w:val="20"/>
          <w:szCs w:val="20"/>
        </w:rPr>
        <w:t xml:space="preserve">on </w:t>
      </w:r>
      <w:r w:rsidR="0067443C" w:rsidRPr="00533DA5">
        <w:rPr>
          <w:rFonts w:ascii="Tahoma" w:hAnsi="Tahoma" w:cs="Tahoma"/>
          <w:sz w:val="20"/>
          <w:szCs w:val="20"/>
        </w:rPr>
        <w:t xml:space="preserve">przesłanek wypełnienia TPI ale </w:t>
      </w:r>
      <w:r w:rsidRPr="00533DA5">
        <w:rPr>
          <w:rFonts w:ascii="Tahoma" w:hAnsi="Tahoma" w:cs="Tahoma"/>
          <w:b/>
          <w:bCs/>
          <w:sz w:val="20"/>
          <w:szCs w:val="20"/>
        </w:rPr>
        <w:t>nie można skorzystaćz Rozporządzenia GBER</w:t>
      </w:r>
      <w:r w:rsidRPr="00533DA5">
        <w:rPr>
          <w:rFonts w:ascii="Tahoma" w:hAnsi="Tahoma" w:cs="Tahoma"/>
          <w:sz w:val="20"/>
          <w:szCs w:val="20"/>
        </w:rPr>
        <w:t xml:space="preserve"> (pomoc inwestycyjna bez konieczności notyfikacji)</w:t>
      </w:r>
    </w:p>
    <w:p w14:paraId="111FE1E8" w14:textId="7E5073C9" w:rsidR="001A177C" w:rsidRPr="00533DA5" w:rsidRDefault="005F389B" w:rsidP="00533DA5">
      <w:pPr>
        <w:numPr>
          <w:ilvl w:val="1"/>
          <w:numId w:val="16"/>
        </w:numPr>
        <w:spacing w:after="0"/>
        <w:ind w:left="1134"/>
        <w:jc w:val="both"/>
        <w:rPr>
          <w:rFonts w:ascii="Tahoma" w:hAnsi="Tahoma" w:cs="Tahoma"/>
          <w:sz w:val="20"/>
          <w:szCs w:val="20"/>
        </w:rPr>
      </w:pPr>
      <w:r>
        <w:rPr>
          <w:rFonts w:ascii="Tahoma" w:hAnsi="Tahoma" w:cs="Tahoma"/>
          <w:sz w:val="20"/>
          <w:szCs w:val="20"/>
        </w:rPr>
        <w:t xml:space="preserve">jedyną możliwością dokapitalizowania Spółki jest </w:t>
      </w:r>
      <w:r w:rsidR="00CF1F93" w:rsidRPr="00533DA5">
        <w:rPr>
          <w:rFonts w:ascii="Tahoma" w:hAnsi="Tahoma" w:cs="Tahoma"/>
          <w:sz w:val="20"/>
          <w:szCs w:val="20"/>
        </w:rPr>
        <w:t xml:space="preserve">udzielenie pomocy </w:t>
      </w:r>
      <w:r>
        <w:rPr>
          <w:rFonts w:ascii="Tahoma" w:hAnsi="Tahoma" w:cs="Tahoma"/>
          <w:sz w:val="20"/>
          <w:szCs w:val="20"/>
        </w:rPr>
        <w:t xml:space="preserve">publicznej </w:t>
      </w:r>
      <w:r w:rsidR="00CF1F93" w:rsidRPr="00533DA5">
        <w:rPr>
          <w:rFonts w:ascii="Tahoma" w:hAnsi="Tahoma" w:cs="Tahoma"/>
          <w:sz w:val="20"/>
          <w:szCs w:val="20"/>
        </w:rPr>
        <w:t xml:space="preserve">przez PPL  zgodnie z </w:t>
      </w:r>
      <w:r w:rsidR="00CF1F93" w:rsidRPr="00533DA5">
        <w:rPr>
          <w:rFonts w:ascii="Tahoma" w:hAnsi="Tahoma" w:cs="Tahoma"/>
          <w:b/>
          <w:bCs/>
          <w:sz w:val="20"/>
          <w:szCs w:val="20"/>
        </w:rPr>
        <w:t xml:space="preserve">Wytycznymi lotniskowymi </w:t>
      </w:r>
      <w:r w:rsidR="00CF1F93" w:rsidRPr="00533DA5">
        <w:rPr>
          <w:rFonts w:ascii="Tahoma" w:hAnsi="Tahoma" w:cs="Tahoma"/>
          <w:sz w:val="20"/>
          <w:szCs w:val="20"/>
        </w:rPr>
        <w:t>(</w:t>
      </w:r>
      <w:r w:rsidR="00F12CF1">
        <w:rPr>
          <w:rFonts w:ascii="Tahoma" w:hAnsi="Tahoma" w:cs="Tahoma"/>
          <w:sz w:val="20"/>
          <w:szCs w:val="20"/>
        </w:rPr>
        <w:t xml:space="preserve">w oparciu o </w:t>
      </w:r>
      <w:r w:rsidR="00CF1F93" w:rsidRPr="00533DA5">
        <w:rPr>
          <w:rFonts w:ascii="Tahoma" w:hAnsi="Tahoma" w:cs="Tahoma"/>
          <w:sz w:val="20"/>
          <w:szCs w:val="20"/>
        </w:rPr>
        <w:t>Komunikat Komisji 2014/C 99/03)</w:t>
      </w:r>
    </w:p>
    <w:p w14:paraId="0F2A4492" w14:textId="77777777" w:rsidR="001A177C" w:rsidRPr="00533DA5" w:rsidRDefault="00CF1F93" w:rsidP="00533DA5">
      <w:pPr>
        <w:numPr>
          <w:ilvl w:val="1"/>
          <w:numId w:val="16"/>
        </w:numPr>
        <w:spacing w:after="0"/>
        <w:ind w:left="1134"/>
        <w:jc w:val="both"/>
        <w:rPr>
          <w:rFonts w:ascii="Tahoma" w:hAnsi="Tahoma" w:cs="Tahoma"/>
          <w:sz w:val="20"/>
          <w:szCs w:val="20"/>
        </w:rPr>
      </w:pPr>
      <w:r w:rsidRPr="00533DA5">
        <w:rPr>
          <w:rFonts w:ascii="Tahoma" w:hAnsi="Tahoma" w:cs="Tahoma"/>
          <w:sz w:val="20"/>
          <w:szCs w:val="20"/>
        </w:rPr>
        <w:t>z uwagi na cel finansowania PPL ma udzielić Spółce pomocy inwestycyjnej (a nie operacyjnej</w:t>
      </w:r>
      <w:r w:rsidR="005F389B">
        <w:rPr>
          <w:rFonts w:ascii="Tahoma" w:hAnsi="Tahoma" w:cs="Tahoma"/>
          <w:sz w:val="20"/>
          <w:szCs w:val="20"/>
        </w:rPr>
        <w:t>, której udzielają Wspólnicy Samorządowi</w:t>
      </w:r>
      <w:r w:rsidRPr="00533DA5">
        <w:rPr>
          <w:rFonts w:ascii="Tahoma" w:hAnsi="Tahoma" w:cs="Tahoma"/>
          <w:sz w:val="20"/>
          <w:szCs w:val="20"/>
        </w:rPr>
        <w:t>)</w:t>
      </w:r>
      <w:r w:rsidR="00CD44D0" w:rsidRPr="00533DA5">
        <w:rPr>
          <w:rFonts w:ascii="Tahoma" w:hAnsi="Tahoma" w:cs="Tahoma"/>
          <w:sz w:val="20"/>
          <w:szCs w:val="20"/>
        </w:rPr>
        <w:t xml:space="preserve">, ustalona kwota to </w:t>
      </w:r>
      <w:r w:rsidR="00CD44D0" w:rsidRPr="00533DA5">
        <w:rPr>
          <w:rFonts w:ascii="Tahoma" w:hAnsi="Tahoma" w:cs="Tahoma"/>
          <w:b/>
          <w:sz w:val="20"/>
          <w:szCs w:val="20"/>
        </w:rPr>
        <w:t>108,5 mln zł.</w:t>
      </w:r>
    </w:p>
    <w:p w14:paraId="63954CDC" w14:textId="77777777" w:rsidR="00533DA5" w:rsidRPr="00533DA5" w:rsidRDefault="00533DA5" w:rsidP="00533DA5">
      <w:pPr>
        <w:spacing w:after="0"/>
        <w:ind w:left="1134"/>
        <w:jc w:val="both"/>
        <w:rPr>
          <w:rFonts w:ascii="Tahoma" w:hAnsi="Tahoma" w:cs="Tahoma"/>
          <w:sz w:val="20"/>
          <w:szCs w:val="20"/>
        </w:rPr>
      </w:pPr>
    </w:p>
    <w:p w14:paraId="71B27A1F" w14:textId="565F11A2" w:rsidR="004D02A5" w:rsidRPr="00533DA5" w:rsidRDefault="00CD44D0" w:rsidP="00533DA5">
      <w:pPr>
        <w:pStyle w:val="Akapitzlist"/>
        <w:numPr>
          <w:ilvl w:val="0"/>
          <w:numId w:val="3"/>
        </w:numPr>
        <w:ind w:left="426"/>
        <w:jc w:val="both"/>
        <w:rPr>
          <w:rFonts w:ascii="Tahoma" w:hAnsi="Tahoma" w:cs="Tahoma"/>
          <w:sz w:val="20"/>
          <w:szCs w:val="20"/>
        </w:rPr>
      </w:pPr>
      <w:r w:rsidRPr="00533DA5">
        <w:rPr>
          <w:rFonts w:ascii="Tahoma" w:hAnsi="Tahoma" w:cs="Tahoma"/>
          <w:sz w:val="20"/>
          <w:szCs w:val="20"/>
        </w:rPr>
        <w:t xml:space="preserve">W trakcie prac z doradcą </w:t>
      </w:r>
      <w:r w:rsidR="005F389B">
        <w:rPr>
          <w:rFonts w:ascii="Tahoma" w:hAnsi="Tahoma" w:cs="Tahoma"/>
          <w:sz w:val="20"/>
          <w:szCs w:val="20"/>
        </w:rPr>
        <w:t xml:space="preserve">prawnym </w:t>
      </w:r>
      <w:r w:rsidR="00533DA5">
        <w:rPr>
          <w:rFonts w:ascii="Tahoma" w:hAnsi="Tahoma" w:cs="Tahoma"/>
          <w:sz w:val="20"/>
          <w:szCs w:val="20"/>
        </w:rPr>
        <w:t xml:space="preserve">- </w:t>
      </w:r>
      <w:r w:rsidRPr="00533DA5">
        <w:rPr>
          <w:rFonts w:ascii="Tahoma" w:hAnsi="Tahoma" w:cs="Tahoma"/>
          <w:sz w:val="20"/>
          <w:szCs w:val="20"/>
        </w:rPr>
        <w:t xml:space="preserve">DZP oraz wykonawcą nowelizacji biznesplanu Spółki – firmą EY ustalono, iż </w:t>
      </w:r>
      <w:r w:rsidR="00F12CF1">
        <w:rPr>
          <w:rFonts w:ascii="Tahoma" w:hAnsi="Tahoma" w:cs="Tahoma"/>
          <w:sz w:val="20"/>
          <w:szCs w:val="20"/>
        </w:rPr>
        <w:t xml:space="preserve">razem z pomocą inwestycyjną </w:t>
      </w:r>
      <w:r w:rsidRPr="00533DA5">
        <w:rPr>
          <w:rFonts w:ascii="Tahoma" w:hAnsi="Tahoma" w:cs="Tahoma"/>
          <w:sz w:val="20"/>
          <w:szCs w:val="20"/>
        </w:rPr>
        <w:t xml:space="preserve">konieczne jest także równoczesne złożenie notyfikacji pomocy publicznej </w:t>
      </w:r>
      <w:r w:rsidR="00AE7738" w:rsidRPr="00533DA5">
        <w:rPr>
          <w:rFonts w:ascii="Tahoma" w:hAnsi="Tahoma" w:cs="Tahoma"/>
          <w:sz w:val="20"/>
          <w:szCs w:val="20"/>
        </w:rPr>
        <w:t xml:space="preserve">operacyjnej </w:t>
      </w:r>
      <w:r w:rsidRPr="00533DA5">
        <w:rPr>
          <w:rFonts w:ascii="Tahoma" w:hAnsi="Tahoma" w:cs="Tahoma"/>
          <w:sz w:val="20"/>
          <w:szCs w:val="20"/>
        </w:rPr>
        <w:t>udzielanej przez Wspólników Samorządowych</w:t>
      </w:r>
      <w:r w:rsidR="005A65E7">
        <w:rPr>
          <w:rFonts w:ascii="Tahoma" w:hAnsi="Tahoma" w:cs="Tahoma"/>
          <w:sz w:val="20"/>
          <w:szCs w:val="20"/>
        </w:rPr>
        <w:t xml:space="preserve"> </w:t>
      </w:r>
      <w:r w:rsidRPr="00533DA5">
        <w:rPr>
          <w:rFonts w:ascii="Tahoma" w:hAnsi="Tahoma" w:cs="Tahoma"/>
          <w:sz w:val="20"/>
          <w:szCs w:val="20"/>
        </w:rPr>
        <w:t>tj.</w:t>
      </w:r>
      <w:r w:rsidR="00533DA5">
        <w:rPr>
          <w:rFonts w:ascii="Tahoma" w:hAnsi="Tahoma" w:cs="Tahoma"/>
          <w:sz w:val="20"/>
          <w:szCs w:val="20"/>
        </w:rPr>
        <w:br/>
      </w:r>
      <w:r w:rsidRPr="00533DA5">
        <w:rPr>
          <w:rFonts w:ascii="Tahoma" w:hAnsi="Tahoma" w:cs="Tahoma"/>
          <w:sz w:val="20"/>
          <w:szCs w:val="20"/>
        </w:rPr>
        <w:t>M. Szczecin i Woj. Zach</w:t>
      </w:r>
      <w:r w:rsidR="00F12CF1">
        <w:rPr>
          <w:rFonts w:ascii="Tahoma" w:hAnsi="Tahoma" w:cs="Tahoma"/>
          <w:sz w:val="20"/>
          <w:szCs w:val="20"/>
        </w:rPr>
        <w:t>odniop</w:t>
      </w:r>
      <w:r w:rsidRPr="00533DA5">
        <w:rPr>
          <w:rFonts w:ascii="Tahoma" w:hAnsi="Tahoma" w:cs="Tahoma"/>
          <w:sz w:val="20"/>
          <w:szCs w:val="20"/>
        </w:rPr>
        <w:t>om</w:t>
      </w:r>
      <w:r w:rsidR="00F12CF1">
        <w:rPr>
          <w:rFonts w:ascii="Tahoma" w:hAnsi="Tahoma" w:cs="Tahoma"/>
          <w:sz w:val="20"/>
          <w:szCs w:val="20"/>
        </w:rPr>
        <w:t>orskie, Pomoc operacyjna ma być udzielania</w:t>
      </w:r>
      <w:r w:rsidRPr="00533DA5">
        <w:rPr>
          <w:rFonts w:ascii="Tahoma" w:hAnsi="Tahoma" w:cs="Tahoma"/>
          <w:sz w:val="20"/>
          <w:szCs w:val="20"/>
        </w:rPr>
        <w:t xml:space="preserve"> </w:t>
      </w:r>
      <w:r w:rsidR="00AE7738" w:rsidRPr="00533DA5">
        <w:rPr>
          <w:rFonts w:ascii="Tahoma" w:hAnsi="Tahoma" w:cs="Tahoma"/>
          <w:sz w:val="20"/>
          <w:szCs w:val="20"/>
        </w:rPr>
        <w:t>w</w:t>
      </w:r>
      <w:r w:rsidRPr="00533DA5">
        <w:rPr>
          <w:rFonts w:ascii="Tahoma" w:hAnsi="Tahoma" w:cs="Tahoma"/>
          <w:sz w:val="20"/>
          <w:szCs w:val="20"/>
        </w:rPr>
        <w:t xml:space="preserve"> oparciu o Umowę Wsparcia </w:t>
      </w:r>
      <w:r w:rsidR="00AE7738" w:rsidRPr="00533DA5">
        <w:rPr>
          <w:rFonts w:ascii="Tahoma" w:hAnsi="Tahoma" w:cs="Tahoma"/>
          <w:sz w:val="20"/>
          <w:szCs w:val="20"/>
        </w:rPr>
        <w:t>z dn. 06.05.2013 r.</w:t>
      </w:r>
      <w:r w:rsidR="00F12CF1">
        <w:rPr>
          <w:rFonts w:ascii="Tahoma" w:hAnsi="Tahoma" w:cs="Tahoma"/>
          <w:sz w:val="20"/>
          <w:szCs w:val="20"/>
        </w:rPr>
        <w:t>. U</w:t>
      </w:r>
      <w:r w:rsidR="001B18F8" w:rsidRPr="00533DA5">
        <w:rPr>
          <w:rFonts w:ascii="Tahoma" w:hAnsi="Tahoma" w:cs="Tahoma"/>
          <w:sz w:val="20"/>
          <w:szCs w:val="20"/>
        </w:rPr>
        <w:t xml:space="preserve">stalona kwota wsparcia w latach 2020-2028 to </w:t>
      </w:r>
      <w:r w:rsidR="001B18F8" w:rsidRPr="00533DA5">
        <w:rPr>
          <w:rFonts w:ascii="Tahoma" w:hAnsi="Tahoma" w:cs="Tahoma"/>
          <w:b/>
          <w:bCs/>
          <w:sz w:val="20"/>
          <w:szCs w:val="20"/>
        </w:rPr>
        <w:t>74,024 mln. zł.</w:t>
      </w:r>
      <w:r w:rsidR="001B18F8" w:rsidRPr="00533DA5">
        <w:rPr>
          <w:rFonts w:ascii="Tahoma" w:hAnsi="Tahoma" w:cs="Tahoma"/>
          <w:sz w:val="20"/>
          <w:szCs w:val="20"/>
        </w:rPr>
        <w:t xml:space="preserve"> </w:t>
      </w:r>
      <w:r w:rsidR="00AE7738" w:rsidRPr="00533DA5">
        <w:rPr>
          <w:rFonts w:ascii="Tahoma" w:hAnsi="Tahoma" w:cs="Tahoma"/>
          <w:sz w:val="20"/>
          <w:szCs w:val="20"/>
        </w:rPr>
        <w:t xml:space="preserve"> </w:t>
      </w:r>
      <w:r w:rsidRPr="00533DA5">
        <w:rPr>
          <w:rFonts w:ascii="Tahoma" w:hAnsi="Tahoma" w:cs="Tahoma"/>
          <w:sz w:val="20"/>
          <w:szCs w:val="20"/>
        </w:rPr>
        <w:t>(</w:t>
      </w:r>
      <w:r w:rsidR="001B18F8" w:rsidRPr="00533DA5">
        <w:rPr>
          <w:rFonts w:ascii="Tahoma" w:hAnsi="Tahoma" w:cs="Tahoma"/>
          <w:sz w:val="20"/>
          <w:szCs w:val="20"/>
        </w:rPr>
        <w:t>w opisie zgłoszenia notyfikacyjnego musiała się także znaleźć informacja o</w:t>
      </w:r>
      <w:r w:rsidR="0001688B">
        <w:rPr>
          <w:rFonts w:ascii="Tahoma" w:hAnsi="Tahoma" w:cs="Tahoma"/>
          <w:sz w:val="20"/>
          <w:szCs w:val="20"/>
        </w:rPr>
        <w:t xml:space="preserve"> </w:t>
      </w:r>
      <w:r w:rsidR="0001688B" w:rsidRPr="00533DA5">
        <w:rPr>
          <w:rFonts w:ascii="Tahoma" w:hAnsi="Tahoma" w:cs="Tahoma"/>
          <w:sz w:val="20"/>
          <w:szCs w:val="20"/>
        </w:rPr>
        <w:t>już</w:t>
      </w:r>
      <w:r w:rsidR="001B18F8" w:rsidRPr="00533DA5">
        <w:rPr>
          <w:rFonts w:ascii="Tahoma" w:hAnsi="Tahoma" w:cs="Tahoma"/>
          <w:sz w:val="20"/>
          <w:szCs w:val="20"/>
        </w:rPr>
        <w:t xml:space="preserve"> udzielonej pomocy w wysokości: </w:t>
      </w:r>
      <w:r w:rsidR="004D02A5" w:rsidRPr="00533DA5">
        <w:rPr>
          <w:rFonts w:ascii="Tahoma" w:hAnsi="Tahoma" w:cs="Tahoma"/>
          <w:b/>
          <w:sz w:val="20"/>
          <w:szCs w:val="20"/>
        </w:rPr>
        <w:t>50,2 mln. zł.</w:t>
      </w:r>
      <w:r w:rsidR="004D02A5" w:rsidRPr="00533DA5">
        <w:rPr>
          <w:rFonts w:ascii="Tahoma" w:hAnsi="Tahoma" w:cs="Tahoma"/>
          <w:sz w:val="20"/>
          <w:szCs w:val="20"/>
        </w:rPr>
        <w:t>)</w:t>
      </w:r>
      <w:r w:rsidR="00AE7738" w:rsidRPr="00533DA5">
        <w:rPr>
          <w:rFonts w:ascii="Tahoma" w:hAnsi="Tahoma" w:cs="Tahoma"/>
          <w:sz w:val="20"/>
          <w:szCs w:val="20"/>
        </w:rPr>
        <w:t>.</w:t>
      </w:r>
      <w:r w:rsidR="005F389B">
        <w:rPr>
          <w:rFonts w:ascii="Tahoma" w:hAnsi="Tahoma" w:cs="Tahoma"/>
          <w:sz w:val="20"/>
          <w:szCs w:val="20"/>
        </w:rPr>
        <w:t xml:space="preserve"> Należy podkreślić, iż początkowo PPL planował notyfikację pomocy inwestycyjnej odrębnie od pomocy operacyjnej, którą planują udzielić Wspólnicy Samorządowi, ale UOKiK wskazał, że notyfikacja powinna obejmować całość wsparcia publicznego dla Spółki. Wspólnicy Samorządowi – co wskazał UOKiK</w:t>
      </w:r>
      <w:r w:rsidR="00F12CF1">
        <w:rPr>
          <w:rFonts w:ascii="Tahoma" w:hAnsi="Tahoma" w:cs="Tahoma"/>
          <w:sz w:val="20"/>
          <w:szCs w:val="20"/>
        </w:rPr>
        <w:t>-</w:t>
      </w:r>
      <w:r w:rsidR="005F389B">
        <w:rPr>
          <w:rFonts w:ascii="Tahoma" w:hAnsi="Tahoma" w:cs="Tahoma"/>
          <w:sz w:val="20"/>
          <w:szCs w:val="20"/>
        </w:rPr>
        <w:t xml:space="preserve"> udzielali w ramach swoich dokapitalizowań nielegalnej pomocy publicznej Spółce w przeszłości</w:t>
      </w:r>
      <w:r w:rsidR="00F12CF1">
        <w:rPr>
          <w:rFonts w:ascii="Tahoma" w:hAnsi="Tahoma" w:cs="Tahoma"/>
          <w:sz w:val="20"/>
          <w:szCs w:val="20"/>
        </w:rPr>
        <w:t>. Jest to</w:t>
      </w:r>
      <w:r w:rsidR="005F389B">
        <w:rPr>
          <w:rFonts w:ascii="Tahoma" w:hAnsi="Tahoma" w:cs="Tahoma"/>
          <w:sz w:val="20"/>
          <w:szCs w:val="20"/>
        </w:rPr>
        <w:t>bardzo problematyczn</w:t>
      </w:r>
      <w:r w:rsidR="00F12CF1">
        <w:rPr>
          <w:rFonts w:ascii="Tahoma" w:hAnsi="Tahoma" w:cs="Tahoma"/>
          <w:sz w:val="20"/>
          <w:szCs w:val="20"/>
        </w:rPr>
        <w:t>a</w:t>
      </w:r>
      <w:r w:rsidR="005F389B">
        <w:rPr>
          <w:rFonts w:ascii="Tahoma" w:hAnsi="Tahoma" w:cs="Tahoma"/>
          <w:sz w:val="20"/>
          <w:szCs w:val="20"/>
        </w:rPr>
        <w:t xml:space="preserve"> kwestią </w:t>
      </w:r>
      <w:r w:rsidR="005A65E7">
        <w:rPr>
          <w:rFonts w:ascii="Tahoma" w:hAnsi="Tahoma" w:cs="Tahoma"/>
          <w:sz w:val="20"/>
          <w:szCs w:val="20"/>
        </w:rPr>
        <w:t xml:space="preserve">                       </w:t>
      </w:r>
      <w:r w:rsidR="005F389B">
        <w:rPr>
          <w:rFonts w:ascii="Tahoma" w:hAnsi="Tahoma" w:cs="Tahoma"/>
          <w:sz w:val="20"/>
          <w:szCs w:val="20"/>
        </w:rPr>
        <w:t xml:space="preserve">w przypadku aktualnego dokonywania notyfikacji (KE może zażądać zwrotu </w:t>
      </w:r>
      <w:r w:rsidR="00F12CF1">
        <w:rPr>
          <w:rFonts w:ascii="Tahoma" w:hAnsi="Tahoma" w:cs="Tahoma"/>
          <w:sz w:val="20"/>
          <w:szCs w:val="20"/>
        </w:rPr>
        <w:t xml:space="preserve">pomocy </w:t>
      </w:r>
      <w:r w:rsidR="005F389B">
        <w:rPr>
          <w:rFonts w:ascii="Tahoma" w:hAnsi="Tahoma" w:cs="Tahoma"/>
          <w:sz w:val="20"/>
          <w:szCs w:val="20"/>
        </w:rPr>
        <w:t>wraz</w:t>
      </w:r>
      <w:r w:rsidR="005A65E7">
        <w:rPr>
          <w:rFonts w:ascii="Tahoma" w:hAnsi="Tahoma" w:cs="Tahoma"/>
          <w:sz w:val="20"/>
          <w:szCs w:val="20"/>
        </w:rPr>
        <w:br/>
      </w:r>
      <w:bookmarkStart w:id="0" w:name="_GoBack"/>
      <w:bookmarkEnd w:id="0"/>
      <w:r w:rsidR="005F389B">
        <w:rPr>
          <w:rFonts w:ascii="Tahoma" w:hAnsi="Tahoma" w:cs="Tahoma"/>
          <w:sz w:val="20"/>
          <w:szCs w:val="20"/>
        </w:rPr>
        <w:t>z odsetkami).</w:t>
      </w:r>
    </w:p>
    <w:p w14:paraId="6703EE2C" w14:textId="77777777" w:rsidR="004D02A5" w:rsidRPr="00533DA5" w:rsidRDefault="004D02A5" w:rsidP="004D02A5">
      <w:pPr>
        <w:jc w:val="both"/>
        <w:rPr>
          <w:rFonts w:ascii="Tahoma" w:hAnsi="Tahoma" w:cs="Tahoma"/>
          <w:b/>
          <w:sz w:val="20"/>
          <w:szCs w:val="20"/>
          <w:u w:val="single"/>
        </w:rPr>
      </w:pPr>
      <w:r w:rsidRPr="00533DA5">
        <w:rPr>
          <w:rFonts w:ascii="Tahoma" w:hAnsi="Tahoma" w:cs="Tahoma"/>
          <w:b/>
          <w:sz w:val="20"/>
          <w:szCs w:val="20"/>
          <w:u w:val="single"/>
        </w:rPr>
        <w:t>Podstawowe zasady udzielania pomocy publicznej w oparciu o Wytyczne Lotniskowe</w:t>
      </w:r>
      <w:r w:rsidR="009768D3" w:rsidRPr="00533DA5">
        <w:rPr>
          <w:rFonts w:ascii="Tahoma" w:hAnsi="Tahoma" w:cs="Tahoma"/>
          <w:b/>
          <w:sz w:val="20"/>
          <w:szCs w:val="20"/>
          <w:u w:val="single"/>
        </w:rPr>
        <w:t xml:space="preserve"> </w:t>
      </w:r>
      <w:r w:rsidR="00533DA5">
        <w:rPr>
          <w:rFonts w:ascii="Tahoma" w:hAnsi="Tahoma" w:cs="Tahoma"/>
          <w:b/>
          <w:sz w:val="20"/>
          <w:szCs w:val="20"/>
          <w:u w:val="single"/>
        </w:rPr>
        <w:br/>
      </w:r>
      <w:r w:rsidR="009768D3" w:rsidRPr="00533DA5">
        <w:rPr>
          <w:rFonts w:ascii="Tahoma" w:hAnsi="Tahoma" w:cs="Tahoma"/>
          <w:b/>
          <w:sz w:val="20"/>
          <w:szCs w:val="20"/>
          <w:u w:val="single"/>
        </w:rPr>
        <w:t>z 04.04.2014r.</w:t>
      </w:r>
      <w:r w:rsidRPr="00533DA5">
        <w:rPr>
          <w:rFonts w:ascii="Tahoma" w:hAnsi="Tahoma" w:cs="Tahoma"/>
          <w:b/>
          <w:sz w:val="20"/>
          <w:szCs w:val="20"/>
          <w:u w:val="single"/>
        </w:rPr>
        <w:t>:</w:t>
      </w:r>
      <w:r w:rsidR="00CD44D0" w:rsidRPr="00533DA5">
        <w:rPr>
          <w:rFonts w:ascii="Tahoma" w:hAnsi="Tahoma" w:cs="Tahoma"/>
          <w:b/>
          <w:sz w:val="20"/>
          <w:szCs w:val="20"/>
          <w:u w:val="single"/>
        </w:rPr>
        <w:t xml:space="preserve">  </w:t>
      </w:r>
    </w:p>
    <w:p w14:paraId="1CD4F204" w14:textId="52932F86" w:rsidR="001E64C4" w:rsidRPr="00533DA5" w:rsidRDefault="009768D3" w:rsidP="009768D3">
      <w:pPr>
        <w:pStyle w:val="Akapitzlist"/>
        <w:numPr>
          <w:ilvl w:val="1"/>
          <w:numId w:val="4"/>
        </w:numPr>
        <w:spacing w:after="120" w:line="276" w:lineRule="auto"/>
        <w:contextualSpacing w:val="0"/>
        <w:jc w:val="both"/>
        <w:rPr>
          <w:rFonts w:ascii="Tahoma" w:hAnsi="Tahoma" w:cs="Tahoma"/>
          <w:sz w:val="20"/>
          <w:szCs w:val="20"/>
        </w:rPr>
      </w:pPr>
      <w:r w:rsidRPr="00533DA5">
        <w:rPr>
          <w:rFonts w:ascii="Tahoma" w:hAnsi="Tahoma" w:cs="Tahoma"/>
          <w:sz w:val="20"/>
          <w:szCs w:val="20"/>
        </w:rPr>
        <w:t xml:space="preserve">Co do zasady każda pomoc </w:t>
      </w:r>
      <w:r w:rsidR="00A476CC" w:rsidRPr="00533DA5">
        <w:rPr>
          <w:rFonts w:ascii="Tahoma" w:hAnsi="Tahoma" w:cs="Tahoma"/>
          <w:sz w:val="20"/>
          <w:szCs w:val="20"/>
        </w:rPr>
        <w:t xml:space="preserve"> tj. zarówno inwestycyjna</w:t>
      </w:r>
      <w:r w:rsidR="00B255CB">
        <w:rPr>
          <w:rFonts w:ascii="Tahoma" w:hAnsi="Tahoma" w:cs="Tahoma"/>
          <w:sz w:val="20"/>
          <w:szCs w:val="20"/>
        </w:rPr>
        <w:t>,</w:t>
      </w:r>
      <w:r w:rsidR="00A476CC" w:rsidRPr="00533DA5">
        <w:rPr>
          <w:rFonts w:ascii="Tahoma" w:hAnsi="Tahoma" w:cs="Tahoma"/>
          <w:sz w:val="20"/>
          <w:szCs w:val="20"/>
        </w:rPr>
        <w:t xml:space="preserve"> jak i operacyjna </w:t>
      </w:r>
      <w:r w:rsidRPr="00533DA5">
        <w:rPr>
          <w:rFonts w:ascii="Tahoma" w:hAnsi="Tahoma" w:cs="Tahoma"/>
          <w:sz w:val="20"/>
          <w:szCs w:val="20"/>
        </w:rPr>
        <w:t xml:space="preserve">udzielana w oparciu </w:t>
      </w:r>
      <w:r w:rsidR="00533DA5">
        <w:rPr>
          <w:rFonts w:ascii="Tahoma" w:hAnsi="Tahoma" w:cs="Tahoma"/>
          <w:sz w:val="20"/>
          <w:szCs w:val="20"/>
        </w:rPr>
        <w:br/>
      </w:r>
      <w:r w:rsidRPr="00533DA5">
        <w:rPr>
          <w:rFonts w:ascii="Tahoma" w:hAnsi="Tahoma" w:cs="Tahoma"/>
          <w:sz w:val="20"/>
          <w:szCs w:val="20"/>
        </w:rPr>
        <w:t xml:space="preserve">o Wytyczne </w:t>
      </w:r>
      <w:r w:rsidR="0001688B">
        <w:rPr>
          <w:rFonts w:ascii="Tahoma" w:hAnsi="Tahoma" w:cs="Tahoma"/>
          <w:sz w:val="20"/>
          <w:szCs w:val="20"/>
        </w:rPr>
        <w:t>l</w:t>
      </w:r>
      <w:r w:rsidRPr="00533DA5">
        <w:rPr>
          <w:rFonts w:ascii="Tahoma" w:hAnsi="Tahoma" w:cs="Tahoma"/>
          <w:sz w:val="20"/>
          <w:szCs w:val="20"/>
        </w:rPr>
        <w:t>otniskowe</w:t>
      </w:r>
      <w:r w:rsidR="005E1909" w:rsidRPr="00533DA5">
        <w:rPr>
          <w:rFonts w:ascii="Tahoma" w:hAnsi="Tahoma" w:cs="Tahoma"/>
          <w:sz w:val="20"/>
          <w:szCs w:val="20"/>
        </w:rPr>
        <w:t xml:space="preserve"> podlega badaniu jej zgodności z rynkiem wewnętrzny</w:t>
      </w:r>
      <w:r w:rsidR="00B255CB">
        <w:rPr>
          <w:rFonts w:ascii="Tahoma" w:hAnsi="Tahoma" w:cs="Tahoma"/>
          <w:sz w:val="20"/>
          <w:szCs w:val="20"/>
        </w:rPr>
        <w:t>m. Nie</w:t>
      </w:r>
      <w:r w:rsidR="005E1909" w:rsidRPr="00533DA5">
        <w:rPr>
          <w:rFonts w:ascii="Tahoma" w:hAnsi="Tahoma" w:cs="Tahoma"/>
          <w:sz w:val="20"/>
          <w:szCs w:val="20"/>
        </w:rPr>
        <w:t xml:space="preserve"> powinna </w:t>
      </w:r>
      <w:r w:rsidR="00B255CB">
        <w:rPr>
          <w:rFonts w:ascii="Tahoma" w:hAnsi="Tahoma" w:cs="Tahoma"/>
          <w:sz w:val="20"/>
          <w:szCs w:val="20"/>
        </w:rPr>
        <w:t xml:space="preserve">ona być udzielana </w:t>
      </w:r>
      <w:r w:rsidR="005E1909" w:rsidRPr="00533DA5">
        <w:rPr>
          <w:rFonts w:ascii="Tahoma" w:hAnsi="Tahoma" w:cs="Tahoma"/>
          <w:sz w:val="20"/>
          <w:szCs w:val="20"/>
        </w:rPr>
        <w:t xml:space="preserve"> do czasu wydania pozytywnej decyzji przez KE</w:t>
      </w:r>
      <w:r w:rsidR="00B255CB">
        <w:rPr>
          <w:rFonts w:ascii="Tahoma" w:hAnsi="Tahoma" w:cs="Tahoma"/>
          <w:sz w:val="20"/>
          <w:szCs w:val="20"/>
        </w:rPr>
        <w:t>. Pomoc jest</w:t>
      </w:r>
      <w:r w:rsidR="005E1909" w:rsidRPr="00533DA5">
        <w:rPr>
          <w:rFonts w:ascii="Tahoma" w:hAnsi="Tahoma" w:cs="Tahoma"/>
          <w:sz w:val="20"/>
          <w:szCs w:val="20"/>
        </w:rPr>
        <w:t xml:space="preserve"> możliwa</w:t>
      </w:r>
      <w:r w:rsidR="005A65E7">
        <w:rPr>
          <w:rFonts w:ascii="Tahoma" w:hAnsi="Tahoma" w:cs="Tahoma"/>
          <w:sz w:val="20"/>
          <w:szCs w:val="20"/>
        </w:rPr>
        <w:t xml:space="preserve"> </w:t>
      </w:r>
      <w:r w:rsidR="005E1909" w:rsidRPr="00533DA5">
        <w:rPr>
          <w:rFonts w:ascii="Tahoma" w:hAnsi="Tahoma" w:cs="Tahoma"/>
          <w:sz w:val="20"/>
          <w:szCs w:val="20"/>
        </w:rPr>
        <w:t xml:space="preserve">po spełnieniu </w:t>
      </w:r>
      <w:r w:rsidR="001E64C4" w:rsidRPr="00533DA5">
        <w:rPr>
          <w:rFonts w:ascii="Tahoma" w:hAnsi="Tahoma" w:cs="Tahoma"/>
          <w:sz w:val="20"/>
          <w:szCs w:val="20"/>
        </w:rPr>
        <w:t>następujących kryteriów:</w:t>
      </w:r>
    </w:p>
    <w:p w14:paraId="305549BD" w14:textId="77777777" w:rsidR="001E64C4" w:rsidRPr="00533DA5" w:rsidRDefault="001E64C4" w:rsidP="00533DA5">
      <w:pPr>
        <w:pStyle w:val="Akapitzlist"/>
        <w:numPr>
          <w:ilvl w:val="0"/>
          <w:numId w:val="5"/>
        </w:numPr>
        <w:spacing w:after="0" w:line="276" w:lineRule="auto"/>
        <w:contextualSpacing w:val="0"/>
        <w:jc w:val="both"/>
        <w:rPr>
          <w:rFonts w:ascii="Tahoma" w:hAnsi="Tahoma" w:cs="Tahoma"/>
          <w:sz w:val="20"/>
          <w:szCs w:val="20"/>
        </w:rPr>
      </w:pPr>
      <w:r w:rsidRPr="00533DA5">
        <w:rPr>
          <w:rFonts w:ascii="Tahoma" w:hAnsi="Tahoma" w:cs="Tahoma"/>
          <w:sz w:val="20"/>
          <w:szCs w:val="20"/>
        </w:rPr>
        <w:t>pomoc służy osiągnięciu celu stanowiącego przedmiot wspólnego europejskiego zainteresowania w rozumieniu art. 107 ust. 3 lit. b) TFUE, tzn. przyczyni się do:</w:t>
      </w:r>
    </w:p>
    <w:p w14:paraId="52FA99AC" w14:textId="77777777" w:rsidR="001E64C4" w:rsidRPr="00533DA5" w:rsidRDefault="001E64C4" w:rsidP="00533DA5">
      <w:pPr>
        <w:pStyle w:val="Akapitzlist"/>
        <w:numPr>
          <w:ilvl w:val="0"/>
          <w:numId w:val="6"/>
        </w:numPr>
        <w:spacing w:after="0" w:line="276" w:lineRule="auto"/>
        <w:contextualSpacing w:val="0"/>
        <w:jc w:val="both"/>
        <w:rPr>
          <w:rFonts w:ascii="Tahoma" w:hAnsi="Tahoma" w:cs="Tahoma"/>
          <w:sz w:val="20"/>
          <w:szCs w:val="20"/>
        </w:rPr>
      </w:pPr>
      <w:r w:rsidRPr="00533DA5">
        <w:rPr>
          <w:rFonts w:ascii="Tahoma" w:hAnsi="Tahoma" w:cs="Tahoma"/>
          <w:sz w:val="20"/>
          <w:szCs w:val="20"/>
        </w:rPr>
        <w:t>zwiększenia mobilności obywateli UE oraz poprawi łączność z regionami poprzez tworzenie punktów dostępu do lotów wewnątrzunijnych lub</w:t>
      </w:r>
    </w:p>
    <w:p w14:paraId="72E6364B" w14:textId="77777777" w:rsidR="001E64C4" w:rsidRPr="00533DA5" w:rsidRDefault="001E64C4" w:rsidP="00533DA5">
      <w:pPr>
        <w:pStyle w:val="Akapitzlist"/>
        <w:numPr>
          <w:ilvl w:val="0"/>
          <w:numId w:val="6"/>
        </w:numPr>
        <w:spacing w:after="0" w:line="276" w:lineRule="auto"/>
        <w:contextualSpacing w:val="0"/>
        <w:jc w:val="both"/>
        <w:rPr>
          <w:rFonts w:ascii="Tahoma" w:hAnsi="Tahoma" w:cs="Tahoma"/>
          <w:sz w:val="20"/>
          <w:szCs w:val="20"/>
        </w:rPr>
      </w:pPr>
      <w:r w:rsidRPr="00533DA5">
        <w:rPr>
          <w:rFonts w:ascii="Tahoma" w:hAnsi="Tahoma" w:cs="Tahoma"/>
          <w:sz w:val="20"/>
          <w:szCs w:val="20"/>
        </w:rPr>
        <w:lastRenderedPageBreak/>
        <w:t>będzie przeciwdziałać zbytniemu zagęszczeniu ruchu lotniczego w głównych węzłach lotniczych Unii lub</w:t>
      </w:r>
    </w:p>
    <w:p w14:paraId="04BDE126" w14:textId="77777777" w:rsidR="001E64C4" w:rsidRPr="00533DA5" w:rsidRDefault="001E64C4" w:rsidP="00533DA5">
      <w:pPr>
        <w:pStyle w:val="Akapitzlist"/>
        <w:numPr>
          <w:ilvl w:val="0"/>
          <w:numId w:val="6"/>
        </w:numPr>
        <w:spacing w:after="0" w:line="276" w:lineRule="auto"/>
        <w:contextualSpacing w:val="0"/>
        <w:jc w:val="both"/>
        <w:rPr>
          <w:rFonts w:ascii="Tahoma" w:hAnsi="Tahoma" w:cs="Tahoma"/>
          <w:sz w:val="20"/>
          <w:szCs w:val="20"/>
        </w:rPr>
      </w:pPr>
      <w:r w:rsidRPr="00533DA5">
        <w:rPr>
          <w:rFonts w:ascii="Tahoma" w:hAnsi="Tahoma" w:cs="Tahoma"/>
          <w:sz w:val="20"/>
          <w:szCs w:val="20"/>
        </w:rPr>
        <w:t>pociągnie za sobą rozwój danego regionu.</w:t>
      </w:r>
    </w:p>
    <w:p w14:paraId="037312B3" w14:textId="77777777" w:rsidR="001E64C4" w:rsidRPr="00533DA5" w:rsidRDefault="001E64C4" w:rsidP="00533DA5">
      <w:pPr>
        <w:spacing w:after="0"/>
        <w:ind w:left="927"/>
        <w:jc w:val="both"/>
        <w:rPr>
          <w:rFonts w:ascii="Tahoma" w:hAnsi="Tahoma" w:cs="Tahoma"/>
          <w:sz w:val="20"/>
          <w:szCs w:val="20"/>
        </w:rPr>
      </w:pPr>
      <w:r w:rsidRPr="00533DA5">
        <w:rPr>
          <w:rFonts w:ascii="Tahoma" w:hAnsi="Tahoma" w:cs="Tahoma"/>
          <w:sz w:val="20"/>
          <w:szCs w:val="20"/>
        </w:rPr>
        <w:t>z zastrzeżeniem, że nie może prowadzić do powielania nierentownych portów lotniczych oraz tworzeniu dodatkowej niewykorzystanej przepustowości;</w:t>
      </w:r>
    </w:p>
    <w:p w14:paraId="70A110BA" w14:textId="77777777" w:rsidR="001E64C4" w:rsidRPr="00533DA5" w:rsidRDefault="001E64C4" w:rsidP="00533DA5">
      <w:pPr>
        <w:pStyle w:val="Akapitzlist"/>
        <w:numPr>
          <w:ilvl w:val="0"/>
          <w:numId w:val="5"/>
        </w:numPr>
        <w:spacing w:after="0" w:line="276" w:lineRule="auto"/>
        <w:contextualSpacing w:val="0"/>
        <w:jc w:val="both"/>
        <w:rPr>
          <w:rFonts w:ascii="Tahoma" w:hAnsi="Tahoma" w:cs="Tahoma"/>
          <w:sz w:val="20"/>
          <w:szCs w:val="20"/>
        </w:rPr>
      </w:pPr>
      <w:r w:rsidRPr="00533DA5">
        <w:rPr>
          <w:rFonts w:ascii="Tahoma" w:hAnsi="Tahoma" w:cs="Tahoma"/>
          <w:sz w:val="20"/>
          <w:szCs w:val="20"/>
        </w:rPr>
        <w:t>środek pomocowy musi być adekwatny, tzn.  nie może zostać zrealizowan</w:t>
      </w:r>
      <w:r w:rsidR="005E1909" w:rsidRPr="00533DA5">
        <w:rPr>
          <w:rFonts w:ascii="Tahoma" w:hAnsi="Tahoma" w:cs="Tahoma"/>
          <w:sz w:val="20"/>
          <w:szCs w:val="20"/>
        </w:rPr>
        <w:t>y</w:t>
      </w:r>
      <w:r w:rsidRPr="00533DA5">
        <w:rPr>
          <w:rFonts w:ascii="Tahoma" w:hAnsi="Tahoma" w:cs="Tahoma"/>
          <w:sz w:val="20"/>
          <w:szCs w:val="20"/>
        </w:rPr>
        <w:t xml:space="preserve"> przy pomocy mniej dotkliwego środka (np. pożyczk</w:t>
      </w:r>
      <w:r w:rsidR="0001688B">
        <w:rPr>
          <w:rFonts w:ascii="Tahoma" w:hAnsi="Tahoma" w:cs="Tahoma"/>
          <w:sz w:val="20"/>
          <w:szCs w:val="20"/>
        </w:rPr>
        <w:t>i</w:t>
      </w:r>
      <w:r w:rsidRPr="00533DA5">
        <w:rPr>
          <w:rFonts w:ascii="Tahoma" w:hAnsi="Tahoma" w:cs="Tahoma"/>
          <w:sz w:val="20"/>
          <w:szCs w:val="20"/>
        </w:rPr>
        <w:t>, dopłat</w:t>
      </w:r>
      <w:r w:rsidR="0001688B">
        <w:rPr>
          <w:rFonts w:ascii="Tahoma" w:hAnsi="Tahoma" w:cs="Tahoma"/>
          <w:sz w:val="20"/>
          <w:szCs w:val="20"/>
        </w:rPr>
        <w:t>y</w:t>
      </w:r>
      <w:r w:rsidRPr="00533DA5">
        <w:rPr>
          <w:rFonts w:ascii="Tahoma" w:hAnsi="Tahoma" w:cs="Tahoma"/>
          <w:sz w:val="20"/>
          <w:szCs w:val="20"/>
        </w:rPr>
        <w:t>);</w:t>
      </w:r>
    </w:p>
    <w:p w14:paraId="6E0B9625" w14:textId="77777777" w:rsidR="001E64C4" w:rsidRPr="00533DA5" w:rsidRDefault="00B255CB" w:rsidP="00533DA5">
      <w:pPr>
        <w:pStyle w:val="Akapitzlist"/>
        <w:numPr>
          <w:ilvl w:val="0"/>
          <w:numId w:val="5"/>
        </w:numPr>
        <w:spacing w:after="0" w:line="276" w:lineRule="auto"/>
        <w:contextualSpacing w:val="0"/>
        <w:jc w:val="both"/>
        <w:rPr>
          <w:rFonts w:ascii="Tahoma" w:hAnsi="Tahoma" w:cs="Tahoma"/>
          <w:sz w:val="20"/>
          <w:szCs w:val="20"/>
        </w:rPr>
      </w:pPr>
      <w:r>
        <w:rPr>
          <w:rFonts w:ascii="Tahoma" w:hAnsi="Tahoma" w:cs="Tahoma"/>
          <w:sz w:val="20"/>
          <w:szCs w:val="20"/>
        </w:rPr>
        <w:t xml:space="preserve">pomoc </w:t>
      </w:r>
      <w:r w:rsidR="001E64C4" w:rsidRPr="00533DA5">
        <w:rPr>
          <w:rFonts w:ascii="Tahoma" w:hAnsi="Tahoma" w:cs="Tahoma"/>
          <w:sz w:val="20"/>
          <w:szCs w:val="20"/>
        </w:rPr>
        <w:t xml:space="preserve">powinna wywołać efekt zachęty, </w:t>
      </w:r>
      <w:r w:rsidR="00AF58C9" w:rsidRPr="00533DA5">
        <w:rPr>
          <w:rFonts w:ascii="Tahoma" w:hAnsi="Tahoma" w:cs="Tahoma"/>
          <w:sz w:val="20"/>
          <w:szCs w:val="20"/>
        </w:rPr>
        <w:t xml:space="preserve">tzn. bez wsparcia </w:t>
      </w:r>
      <w:r w:rsidR="00A476CC" w:rsidRPr="00533DA5">
        <w:rPr>
          <w:rFonts w:ascii="Tahoma" w:hAnsi="Tahoma" w:cs="Tahoma"/>
          <w:sz w:val="20"/>
          <w:szCs w:val="20"/>
        </w:rPr>
        <w:t>podmiot nie dokonałby inwestycji lu</w:t>
      </w:r>
      <w:r w:rsidR="0001688B">
        <w:rPr>
          <w:rFonts w:ascii="Tahoma" w:hAnsi="Tahoma" w:cs="Tahoma"/>
          <w:sz w:val="20"/>
          <w:szCs w:val="20"/>
        </w:rPr>
        <w:t>b</w:t>
      </w:r>
      <w:r w:rsidR="00A476CC" w:rsidRPr="00533DA5">
        <w:rPr>
          <w:rFonts w:ascii="Tahoma" w:hAnsi="Tahoma" w:cs="Tahoma"/>
          <w:sz w:val="20"/>
          <w:szCs w:val="20"/>
        </w:rPr>
        <w:t xml:space="preserve"> dokonał w mniejszym zakresie/prawdopodobny poziom działalności będzie dużo niższy</w:t>
      </w:r>
      <w:r w:rsidR="001E64C4" w:rsidRPr="00533DA5">
        <w:rPr>
          <w:rFonts w:ascii="Tahoma" w:hAnsi="Tahoma" w:cs="Tahoma"/>
          <w:sz w:val="20"/>
          <w:szCs w:val="20"/>
        </w:rPr>
        <w:t>;</w:t>
      </w:r>
    </w:p>
    <w:p w14:paraId="4D8BFCE8" w14:textId="77777777" w:rsidR="001E64C4" w:rsidRPr="00533DA5" w:rsidRDefault="001E64C4" w:rsidP="00533DA5">
      <w:pPr>
        <w:pStyle w:val="Akapitzlist"/>
        <w:numPr>
          <w:ilvl w:val="0"/>
          <w:numId w:val="5"/>
        </w:numPr>
        <w:spacing w:after="0" w:line="276" w:lineRule="auto"/>
        <w:contextualSpacing w:val="0"/>
        <w:jc w:val="both"/>
        <w:rPr>
          <w:rFonts w:ascii="Tahoma" w:hAnsi="Tahoma" w:cs="Tahoma"/>
          <w:sz w:val="20"/>
          <w:szCs w:val="20"/>
        </w:rPr>
      </w:pPr>
      <w:r w:rsidRPr="00533DA5">
        <w:rPr>
          <w:rFonts w:ascii="Tahoma" w:hAnsi="Tahoma" w:cs="Tahoma"/>
          <w:sz w:val="20"/>
          <w:szCs w:val="20"/>
        </w:rPr>
        <w:t>wielkość pomocy musi być proporcjonalna, tzn. ograniczona do minimum, nie wykraczać ponad to, co konieczne;</w:t>
      </w:r>
    </w:p>
    <w:p w14:paraId="0E7226AD" w14:textId="77777777" w:rsidR="001E64C4" w:rsidRPr="00533DA5" w:rsidRDefault="001E64C4" w:rsidP="00533DA5">
      <w:pPr>
        <w:pStyle w:val="Akapitzlist"/>
        <w:numPr>
          <w:ilvl w:val="0"/>
          <w:numId w:val="5"/>
        </w:numPr>
        <w:spacing w:after="0" w:line="276" w:lineRule="auto"/>
        <w:contextualSpacing w:val="0"/>
        <w:jc w:val="both"/>
        <w:rPr>
          <w:rFonts w:ascii="Tahoma" w:hAnsi="Tahoma" w:cs="Tahoma"/>
          <w:sz w:val="20"/>
          <w:szCs w:val="20"/>
        </w:rPr>
      </w:pPr>
      <w:r w:rsidRPr="00533DA5">
        <w:rPr>
          <w:rFonts w:ascii="Tahoma" w:hAnsi="Tahoma" w:cs="Tahoma"/>
          <w:sz w:val="20"/>
          <w:szCs w:val="20"/>
        </w:rPr>
        <w:t xml:space="preserve">udzielenie wsparcia nie powinno skutkować powstaniem negatywnych konsekwencji dla wymiany handlowej i dla konkurencji, np. prowadzić do utrzymywania nierentownych portów lotniczych lub powiększania niewykorzystywanych przepustowości, szczególnie </w:t>
      </w:r>
      <w:r w:rsidR="00FC114C" w:rsidRPr="00533DA5">
        <w:rPr>
          <w:rFonts w:ascii="Tahoma" w:hAnsi="Tahoma" w:cs="Tahoma"/>
          <w:sz w:val="20"/>
          <w:szCs w:val="20"/>
        </w:rPr>
        <w:br/>
      </w:r>
      <w:r w:rsidRPr="00533DA5">
        <w:rPr>
          <w:rFonts w:ascii="Tahoma" w:hAnsi="Tahoma" w:cs="Tahoma"/>
          <w:sz w:val="20"/>
          <w:szCs w:val="20"/>
        </w:rPr>
        <w:t>w strefach ciążenia sąsiadujących lotnisk.</w:t>
      </w:r>
    </w:p>
    <w:p w14:paraId="4C427EE2" w14:textId="77777777" w:rsidR="00533DA5" w:rsidRDefault="00B255CB" w:rsidP="00A476CC">
      <w:pPr>
        <w:spacing w:after="120" w:line="276" w:lineRule="auto"/>
        <w:ind w:firstLine="567"/>
        <w:jc w:val="both"/>
        <w:rPr>
          <w:rFonts w:ascii="Tahoma" w:hAnsi="Tahoma" w:cs="Tahoma"/>
          <w:sz w:val="20"/>
          <w:szCs w:val="20"/>
          <w:u w:val="single"/>
        </w:rPr>
      </w:pPr>
      <w:r w:rsidRPr="005A65E7">
        <w:rPr>
          <w:rFonts w:ascii="Tahoma" w:hAnsi="Tahoma" w:cs="Tahoma"/>
          <w:sz w:val="20"/>
          <w:szCs w:val="20"/>
        </w:rPr>
        <w:t>Wszystkie te warunki powinny zostać spełnione łącznie.</w:t>
      </w:r>
    </w:p>
    <w:p w14:paraId="2E0A7B3F" w14:textId="681AC867" w:rsidR="00A476CC" w:rsidRPr="005A65E7" w:rsidRDefault="00E90C88" w:rsidP="005A65E7">
      <w:pPr>
        <w:spacing w:after="120" w:line="276" w:lineRule="auto"/>
        <w:jc w:val="both"/>
        <w:rPr>
          <w:rFonts w:ascii="Tahoma" w:hAnsi="Tahoma" w:cs="Tahoma"/>
          <w:b/>
          <w:sz w:val="20"/>
          <w:szCs w:val="20"/>
        </w:rPr>
      </w:pPr>
      <w:r>
        <w:rPr>
          <w:rFonts w:ascii="Tahoma" w:hAnsi="Tahoma" w:cs="Tahoma"/>
          <w:b/>
          <w:sz w:val="20"/>
          <w:szCs w:val="20"/>
          <w:u w:val="single"/>
        </w:rPr>
        <w:t xml:space="preserve">       </w:t>
      </w:r>
      <w:r w:rsidR="00B255CB" w:rsidRPr="005A65E7">
        <w:rPr>
          <w:rFonts w:ascii="Tahoma" w:hAnsi="Tahoma" w:cs="Tahoma"/>
          <w:b/>
          <w:sz w:val="20"/>
          <w:szCs w:val="20"/>
          <w:u w:val="single"/>
        </w:rPr>
        <w:t>P</w:t>
      </w:r>
      <w:r w:rsidR="009768D3" w:rsidRPr="005A65E7">
        <w:rPr>
          <w:rFonts w:ascii="Tahoma" w:hAnsi="Tahoma" w:cs="Tahoma"/>
          <w:b/>
          <w:sz w:val="20"/>
          <w:szCs w:val="20"/>
          <w:u w:val="single"/>
        </w:rPr>
        <w:t>omoc inwestycyjna</w:t>
      </w:r>
    </w:p>
    <w:p w14:paraId="6326DCE0" w14:textId="65EFF3F6" w:rsidR="00FC114C" w:rsidRPr="00533DA5" w:rsidRDefault="00FC114C" w:rsidP="009768D3">
      <w:pPr>
        <w:pStyle w:val="Akapitzlist"/>
        <w:numPr>
          <w:ilvl w:val="1"/>
          <w:numId w:val="4"/>
        </w:numPr>
        <w:spacing w:after="120" w:line="276" w:lineRule="auto"/>
        <w:contextualSpacing w:val="0"/>
        <w:jc w:val="both"/>
        <w:rPr>
          <w:rFonts w:ascii="Tahoma" w:hAnsi="Tahoma" w:cs="Tahoma"/>
          <w:sz w:val="20"/>
          <w:szCs w:val="20"/>
        </w:rPr>
      </w:pPr>
      <w:r w:rsidRPr="00533DA5">
        <w:rPr>
          <w:rFonts w:ascii="Tahoma" w:hAnsi="Tahoma" w:cs="Tahoma"/>
          <w:sz w:val="20"/>
          <w:szCs w:val="20"/>
        </w:rPr>
        <w:t>P</w:t>
      </w:r>
      <w:r w:rsidR="009768D3" w:rsidRPr="00533DA5">
        <w:rPr>
          <w:rFonts w:ascii="Tahoma" w:hAnsi="Tahoma" w:cs="Tahoma"/>
          <w:sz w:val="20"/>
          <w:szCs w:val="20"/>
        </w:rPr>
        <w:t xml:space="preserve">owinna zostać wydatkowana na pokrycie </w:t>
      </w:r>
      <w:r w:rsidR="009768D3" w:rsidRPr="00533DA5">
        <w:rPr>
          <w:rFonts w:ascii="Tahoma" w:hAnsi="Tahoma" w:cs="Tahoma"/>
          <w:b/>
          <w:bCs/>
          <w:sz w:val="20"/>
          <w:szCs w:val="20"/>
        </w:rPr>
        <w:t xml:space="preserve">kosztów związanych z inwestycjami </w:t>
      </w:r>
      <w:r w:rsidRPr="00533DA5">
        <w:rPr>
          <w:rFonts w:ascii="Tahoma" w:hAnsi="Tahoma" w:cs="Tahoma"/>
          <w:b/>
          <w:bCs/>
          <w:sz w:val="20"/>
          <w:szCs w:val="20"/>
        </w:rPr>
        <w:br/>
      </w:r>
      <w:r w:rsidR="009768D3" w:rsidRPr="00533DA5">
        <w:rPr>
          <w:rFonts w:ascii="Tahoma" w:hAnsi="Tahoma" w:cs="Tahoma"/>
          <w:b/>
          <w:bCs/>
          <w:sz w:val="20"/>
          <w:szCs w:val="20"/>
        </w:rPr>
        <w:t>w infrastrukturę portu lotniczego, w tym koszt</w:t>
      </w:r>
      <w:r w:rsidR="00B255CB">
        <w:rPr>
          <w:rFonts w:ascii="Tahoma" w:hAnsi="Tahoma" w:cs="Tahoma"/>
          <w:b/>
          <w:bCs/>
          <w:sz w:val="20"/>
          <w:szCs w:val="20"/>
        </w:rPr>
        <w:t>ów</w:t>
      </w:r>
      <w:r w:rsidR="009768D3" w:rsidRPr="00533DA5">
        <w:rPr>
          <w:rFonts w:ascii="Tahoma" w:hAnsi="Tahoma" w:cs="Tahoma"/>
          <w:b/>
          <w:bCs/>
          <w:sz w:val="20"/>
          <w:szCs w:val="20"/>
        </w:rPr>
        <w:t xml:space="preserve"> planowania, infrastruktury obsługi naziemnej i wyposażenia lotniczego</w:t>
      </w:r>
      <w:r w:rsidR="009768D3" w:rsidRPr="00533DA5">
        <w:rPr>
          <w:rFonts w:ascii="Tahoma" w:hAnsi="Tahoma" w:cs="Tahoma"/>
          <w:sz w:val="20"/>
          <w:szCs w:val="20"/>
        </w:rPr>
        <w:t>, a także koszt</w:t>
      </w:r>
      <w:r w:rsidR="00B255CB">
        <w:rPr>
          <w:rFonts w:ascii="Tahoma" w:hAnsi="Tahoma" w:cs="Tahoma"/>
          <w:sz w:val="20"/>
          <w:szCs w:val="20"/>
        </w:rPr>
        <w:t>ów</w:t>
      </w:r>
      <w:r w:rsidR="009768D3" w:rsidRPr="00533DA5">
        <w:rPr>
          <w:rFonts w:ascii="Tahoma" w:hAnsi="Tahoma" w:cs="Tahoma"/>
          <w:sz w:val="20"/>
          <w:szCs w:val="20"/>
        </w:rPr>
        <w:t xml:space="preserve"> finansowania dłużnego lub kapitałem własnym</w:t>
      </w:r>
      <w:r w:rsidR="00AF20B9" w:rsidRPr="00533DA5">
        <w:rPr>
          <w:rFonts w:ascii="Tahoma" w:hAnsi="Tahoma" w:cs="Tahoma"/>
          <w:sz w:val="20"/>
          <w:szCs w:val="20"/>
        </w:rPr>
        <w:t>.</w:t>
      </w:r>
    </w:p>
    <w:p w14:paraId="64F47808" w14:textId="416F0639" w:rsidR="009768D3" w:rsidRPr="00533DA5" w:rsidRDefault="00FC114C" w:rsidP="009768D3">
      <w:pPr>
        <w:pStyle w:val="Akapitzlist"/>
        <w:numPr>
          <w:ilvl w:val="1"/>
          <w:numId w:val="4"/>
        </w:numPr>
        <w:spacing w:after="120" w:line="276" w:lineRule="auto"/>
        <w:contextualSpacing w:val="0"/>
        <w:jc w:val="both"/>
        <w:rPr>
          <w:rFonts w:ascii="Tahoma" w:hAnsi="Tahoma" w:cs="Tahoma"/>
          <w:sz w:val="20"/>
          <w:szCs w:val="20"/>
        </w:rPr>
      </w:pPr>
      <w:r w:rsidRPr="00533DA5">
        <w:rPr>
          <w:rFonts w:ascii="Tahoma" w:hAnsi="Tahoma" w:cs="Tahoma"/>
          <w:sz w:val="20"/>
          <w:szCs w:val="20"/>
        </w:rPr>
        <w:t>N</w:t>
      </w:r>
      <w:r w:rsidR="009768D3" w:rsidRPr="00533DA5">
        <w:rPr>
          <w:rFonts w:ascii="Tahoma" w:hAnsi="Tahoma" w:cs="Tahoma"/>
          <w:sz w:val="20"/>
          <w:szCs w:val="20"/>
        </w:rPr>
        <w:t xml:space="preserve">ie może </w:t>
      </w:r>
      <w:r w:rsidR="00B255CB">
        <w:rPr>
          <w:rFonts w:ascii="Tahoma" w:hAnsi="Tahoma" w:cs="Tahoma"/>
          <w:sz w:val="20"/>
          <w:szCs w:val="20"/>
        </w:rPr>
        <w:t xml:space="preserve">ona </w:t>
      </w:r>
      <w:r w:rsidR="009768D3" w:rsidRPr="00533DA5">
        <w:rPr>
          <w:rFonts w:ascii="Tahoma" w:hAnsi="Tahoma" w:cs="Tahoma"/>
          <w:sz w:val="20"/>
          <w:szCs w:val="20"/>
        </w:rPr>
        <w:t xml:space="preserve">zostać wykorzystana </w:t>
      </w:r>
      <w:r w:rsidR="00A476CC" w:rsidRPr="00533DA5">
        <w:rPr>
          <w:rFonts w:ascii="Tahoma" w:hAnsi="Tahoma" w:cs="Tahoma"/>
          <w:sz w:val="20"/>
          <w:szCs w:val="20"/>
        </w:rPr>
        <w:t>na</w:t>
      </w:r>
      <w:r w:rsidR="009768D3" w:rsidRPr="00533DA5">
        <w:rPr>
          <w:rFonts w:ascii="Tahoma" w:hAnsi="Tahoma" w:cs="Tahoma"/>
          <w:sz w:val="20"/>
          <w:szCs w:val="20"/>
        </w:rPr>
        <w:t xml:space="preserve"> inwestycj</w:t>
      </w:r>
      <w:r w:rsidR="0001688B">
        <w:rPr>
          <w:rFonts w:ascii="Tahoma" w:hAnsi="Tahoma" w:cs="Tahoma"/>
          <w:sz w:val="20"/>
          <w:szCs w:val="20"/>
        </w:rPr>
        <w:t>e</w:t>
      </w:r>
      <w:r w:rsidR="009768D3" w:rsidRPr="00533DA5">
        <w:rPr>
          <w:rFonts w:ascii="Tahoma" w:hAnsi="Tahoma" w:cs="Tahoma"/>
          <w:sz w:val="20"/>
          <w:szCs w:val="20"/>
        </w:rPr>
        <w:t xml:space="preserve"> w infrastrukturę niezbędną do prowadzenia działalności pozalotniczej oraz na pokrycie kosztów związanych ze świadczeniem obsługi naziemnej (za wyjątkiem kosztów infrastruktury) </w:t>
      </w:r>
      <w:r w:rsidR="00B255CB">
        <w:rPr>
          <w:rFonts w:ascii="Tahoma" w:hAnsi="Tahoma" w:cs="Tahoma"/>
          <w:sz w:val="20"/>
          <w:szCs w:val="20"/>
        </w:rPr>
        <w:t xml:space="preserve">i </w:t>
      </w:r>
      <w:r w:rsidR="009768D3" w:rsidRPr="00533DA5">
        <w:rPr>
          <w:rFonts w:ascii="Tahoma" w:hAnsi="Tahoma" w:cs="Tahoma"/>
          <w:sz w:val="20"/>
          <w:szCs w:val="20"/>
        </w:rPr>
        <w:t>kosztów bieżącej działalności Spółki</w:t>
      </w:r>
      <w:r w:rsidR="00AF20B9" w:rsidRPr="00533DA5">
        <w:rPr>
          <w:rFonts w:ascii="Tahoma" w:hAnsi="Tahoma" w:cs="Tahoma"/>
          <w:sz w:val="20"/>
          <w:szCs w:val="20"/>
        </w:rPr>
        <w:t>.</w:t>
      </w:r>
    </w:p>
    <w:p w14:paraId="11ADB203" w14:textId="77777777" w:rsidR="009768D3" w:rsidRPr="00533DA5" w:rsidRDefault="00FC114C" w:rsidP="00FC114C">
      <w:pPr>
        <w:pStyle w:val="Akapitzlist"/>
        <w:numPr>
          <w:ilvl w:val="1"/>
          <w:numId w:val="4"/>
        </w:numPr>
        <w:spacing w:after="120" w:line="276" w:lineRule="auto"/>
        <w:contextualSpacing w:val="0"/>
        <w:jc w:val="both"/>
        <w:rPr>
          <w:rFonts w:ascii="Tahoma" w:hAnsi="Tahoma" w:cs="Tahoma"/>
          <w:sz w:val="20"/>
          <w:szCs w:val="20"/>
        </w:rPr>
      </w:pPr>
      <w:r w:rsidRPr="00533DA5">
        <w:rPr>
          <w:rFonts w:ascii="Tahoma" w:hAnsi="Tahoma" w:cs="Tahoma"/>
          <w:sz w:val="20"/>
          <w:szCs w:val="20"/>
        </w:rPr>
        <w:t>M</w:t>
      </w:r>
      <w:r w:rsidR="009768D3" w:rsidRPr="00533DA5">
        <w:rPr>
          <w:rFonts w:ascii="Tahoma" w:hAnsi="Tahoma" w:cs="Tahoma"/>
          <w:sz w:val="20"/>
          <w:szCs w:val="20"/>
        </w:rPr>
        <w:t>aksymaln</w:t>
      </w:r>
      <w:r w:rsidRPr="00533DA5">
        <w:rPr>
          <w:rFonts w:ascii="Tahoma" w:hAnsi="Tahoma" w:cs="Tahoma"/>
          <w:sz w:val="20"/>
          <w:szCs w:val="20"/>
        </w:rPr>
        <w:t>a</w:t>
      </w:r>
      <w:r w:rsidR="009768D3" w:rsidRPr="00533DA5">
        <w:rPr>
          <w:rFonts w:ascii="Tahoma" w:hAnsi="Tahoma" w:cs="Tahoma"/>
          <w:sz w:val="20"/>
          <w:szCs w:val="20"/>
        </w:rPr>
        <w:t xml:space="preserve"> intensywność pomocy </w:t>
      </w:r>
      <w:r w:rsidRPr="00533DA5">
        <w:rPr>
          <w:rFonts w:ascii="Tahoma" w:hAnsi="Tahoma" w:cs="Tahoma"/>
          <w:sz w:val="20"/>
          <w:szCs w:val="20"/>
        </w:rPr>
        <w:t xml:space="preserve">uzależniona jest </w:t>
      </w:r>
      <w:r w:rsidR="009768D3" w:rsidRPr="00533DA5">
        <w:rPr>
          <w:rFonts w:ascii="Tahoma" w:hAnsi="Tahoma" w:cs="Tahoma"/>
          <w:sz w:val="20"/>
          <w:szCs w:val="20"/>
        </w:rPr>
        <w:t>od wielkości portu lotniczego mierzonej za pomocą średniej liczby obsłużonych pasażerów w ujęciu rocznym</w:t>
      </w:r>
      <w:r w:rsidRPr="00533DA5">
        <w:rPr>
          <w:rFonts w:ascii="Tahoma" w:hAnsi="Tahoma" w:cs="Tahoma"/>
          <w:sz w:val="20"/>
          <w:szCs w:val="20"/>
        </w:rPr>
        <w:t xml:space="preserve"> (pax)</w:t>
      </w:r>
      <w:r w:rsidR="009768D3" w:rsidRPr="00533DA5">
        <w:rPr>
          <w:rFonts w:ascii="Tahoma" w:hAnsi="Tahoma" w:cs="Tahoma"/>
          <w:sz w:val="20"/>
          <w:szCs w:val="20"/>
        </w:rPr>
        <w:t>. Ze względu na to, że średnia liczba pasażerów obsłużonych przez P</w:t>
      </w:r>
      <w:r w:rsidRPr="00533DA5">
        <w:rPr>
          <w:rFonts w:ascii="Tahoma" w:hAnsi="Tahoma" w:cs="Tahoma"/>
          <w:sz w:val="20"/>
          <w:szCs w:val="20"/>
        </w:rPr>
        <w:t xml:space="preserve">L SZZ </w:t>
      </w:r>
      <w:r w:rsidR="009768D3" w:rsidRPr="00533DA5">
        <w:rPr>
          <w:rFonts w:ascii="Tahoma" w:hAnsi="Tahoma" w:cs="Tahoma"/>
          <w:sz w:val="20"/>
          <w:szCs w:val="20"/>
        </w:rPr>
        <w:t xml:space="preserve">w ciągu dwóch ostatnich lat wyniosła ok. </w:t>
      </w:r>
      <w:r w:rsidRPr="00533DA5">
        <w:rPr>
          <w:rFonts w:ascii="Tahoma" w:hAnsi="Tahoma" w:cs="Tahoma"/>
          <w:sz w:val="20"/>
          <w:szCs w:val="20"/>
        </w:rPr>
        <w:t>60</w:t>
      </w:r>
      <w:r w:rsidR="009768D3" w:rsidRPr="00533DA5">
        <w:rPr>
          <w:rFonts w:ascii="Tahoma" w:hAnsi="Tahoma" w:cs="Tahoma"/>
          <w:sz w:val="20"/>
          <w:szCs w:val="20"/>
        </w:rPr>
        <w:t xml:space="preserve">0 tys. osób rocznie, </w:t>
      </w:r>
      <w:r w:rsidR="009768D3" w:rsidRPr="00533DA5">
        <w:rPr>
          <w:rFonts w:ascii="Tahoma" w:hAnsi="Tahoma" w:cs="Tahoma"/>
          <w:b/>
          <w:bCs/>
          <w:sz w:val="20"/>
          <w:szCs w:val="20"/>
        </w:rPr>
        <w:t>maksymalna intensywność pomocy, jaką mogłaby otrzymać Spółka od PPL wynosi do 75% kosztów kwalifikowalnych</w:t>
      </w:r>
      <w:r w:rsidR="00AF20B9" w:rsidRPr="00533DA5">
        <w:rPr>
          <w:rFonts w:ascii="Tahoma" w:hAnsi="Tahoma" w:cs="Tahoma"/>
          <w:b/>
          <w:bCs/>
          <w:sz w:val="20"/>
          <w:szCs w:val="20"/>
        </w:rPr>
        <w:t>.</w:t>
      </w:r>
      <w:r w:rsidR="009768D3" w:rsidRPr="00533DA5">
        <w:rPr>
          <w:rFonts w:ascii="Tahoma" w:hAnsi="Tahoma" w:cs="Tahoma"/>
          <w:sz w:val="20"/>
          <w:szCs w:val="20"/>
        </w:rPr>
        <w:t xml:space="preserve"> </w:t>
      </w:r>
    </w:p>
    <w:p w14:paraId="4F92CE2B" w14:textId="5B4E9B16" w:rsidR="00FC114C" w:rsidRPr="00533DA5" w:rsidRDefault="00E90C88" w:rsidP="00FC114C">
      <w:pPr>
        <w:spacing w:after="120" w:line="276" w:lineRule="auto"/>
        <w:ind w:firstLine="567"/>
        <w:jc w:val="both"/>
        <w:rPr>
          <w:rFonts w:ascii="Tahoma" w:hAnsi="Tahoma" w:cs="Tahoma"/>
          <w:sz w:val="20"/>
          <w:szCs w:val="20"/>
          <w:u w:val="single"/>
        </w:rPr>
      </w:pPr>
      <w:r>
        <w:rPr>
          <w:rFonts w:ascii="Tahoma" w:hAnsi="Tahoma" w:cs="Tahoma"/>
          <w:sz w:val="20"/>
          <w:szCs w:val="20"/>
          <w:u w:val="single"/>
        </w:rPr>
        <w:t>P</w:t>
      </w:r>
      <w:r w:rsidR="009768D3" w:rsidRPr="00533DA5">
        <w:rPr>
          <w:rFonts w:ascii="Tahoma" w:hAnsi="Tahoma" w:cs="Tahoma"/>
          <w:sz w:val="20"/>
          <w:szCs w:val="20"/>
          <w:u w:val="single"/>
        </w:rPr>
        <w:t>omoc operacyjn</w:t>
      </w:r>
      <w:r w:rsidR="00FC114C" w:rsidRPr="00533DA5">
        <w:rPr>
          <w:rFonts w:ascii="Tahoma" w:hAnsi="Tahoma" w:cs="Tahoma"/>
          <w:sz w:val="20"/>
          <w:szCs w:val="20"/>
          <w:u w:val="single"/>
        </w:rPr>
        <w:t>a</w:t>
      </w:r>
    </w:p>
    <w:p w14:paraId="4DFC207C" w14:textId="77777777" w:rsidR="009768D3" w:rsidRPr="00533DA5" w:rsidRDefault="009768D3" w:rsidP="009768D3">
      <w:pPr>
        <w:pStyle w:val="Akapitzlist"/>
        <w:numPr>
          <w:ilvl w:val="1"/>
          <w:numId w:val="4"/>
        </w:numPr>
        <w:spacing w:after="120" w:line="276" w:lineRule="auto"/>
        <w:contextualSpacing w:val="0"/>
        <w:jc w:val="both"/>
        <w:rPr>
          <w:rFonts w:ascii="Tahoma" w:hAnsi="Tahoma" w:cs="Tahoma"/>
          <w:sz w:val="20"/>
          <w:szCs w:val="20"/>
        </w:rPr>
      </w:pPr>
      <w:r w:rsidRPr="00533DA5">
        <w:rPr>
          <w:rFonts w:ascii="Tahoma" w:hAnsi="Tahoma" w:cs="Tahoma"/>
          <w:sz w:val="20"/>
          <w:szCs w:val="20"/>
        </w:rPr>
        <w:t xml:space="preserve">Możliwość udzielenia pomocy operacyjnej, ze względu na jej bardziej niekorzystne oddziaływanie na konkurencję na rynku wewnętrznym, obwarowana jest znacznie ostrzejszymi warunkami niż pomoc inwestycyjna. </w:t>
      </w:r>
    </w:p>
    <w:p w14:paraId="5C771F38" w14:textId="77777777" w:rsidR="009768D3" w:rsidRPr="00533DA5" w:rsidRDefault="009768D3" w:rsidP="009768D3">
      <w:pPr>
        <w:pStyle w:val="Akapitzlist"/>
        <w:numPr>
          <w:ilvl w:val="1"/>
          <w:numId w:val="4"/>
        </w:numPr>
        <w:spacing w:after="120" w:line="276" w:lineRule="auto"/>
        <w:contextualSpacing w:val="0"/>
        <w:jc w:val="both"/>
        <w:rPr>
          <w:rFonts w:ascii="Tahoma" w:hAnsi="Tahoma" w:cs="Tahoma"/>
          <w:b/>
          <w:sz w:val="20"/>
          <w:szCs w:val="20"/>
        </w:rPr>
      </w:pPr>
      <w:r w:rsidRPr="00533DA5">
        <w:rPr>
          <w:rFonts w:ascii="Tahoma" w:hAnsi="Tahoma" w:cs="Tahoma"/>
          <w:sz w:val="20"/>
          <w:szCs w:val="20"/>
        </w:rPr>
        <w:t xml:space="preserve">Pomoc operacyjna </w:t>
      </w:r>
      <w:r w:rsidRPr="00533DA5">
        <w:rPr>
          <w:rFonts w:ascii="Tahoma" w:hAnsi="Tahoma" w:cs="Tahoma"/>
          <w:b/>
          <w:bCs/>
          <w:sz w:val="20"/>
          <w:szCs w:val="20"/>
        </w:rPr>
        <w:t xml:space="preserve">nie może być udzielona </w:t>
      </w:r>
      <w:r w:rsidRPr="00533DA5">
        <w:rPr>
          <w:rFonts w:ascii="Tahoma" w:hAnsi="Tahoma" w:cs="Tahoma"/>
          <w:sz w:val="20"/>
          <w:szCs w:val="20"/>
        </w:rPr>
        <w:t xml:space="preserve">dużemu portowi regionalnemu obsługującemu średnio (średnia z dwóch ostatnich lat) co najmniej 3 mln pasażerów rocznie. A zatem kryterium to </w:t>
      </w:r>
      <w:r w:rsidRPr="00533DA5">
        <w:rPr>
          <w:rFonts w:ascii="Tahoma" w:hAnsi="Tahoma" w:cs="Tahoma"/>
          <w:b/>
          <w:bCs/>
          <w:sz w:val="20"/>
          <w:szCs w:val="20"/>
        </w:rPr>
        <w:t>jest spełnione</w:t>
      </w:r>
      <w:r w:rsidRPr="00533DA5">
        <w:rPr>
          <w:rFonts w:ascii="Tahoma" w:hAnsi="Tahoma" w:cs="Tahoma"/>
          <w:sz w:val="20"/>
          <w:szCs w:val="20"/>
        </w:rPr>
        <w:t xml:space="preserve"> w odniesieniu do Spółki.</w:t>
      </w:r>
      <w:r w:rsidR="00AF20B9" w:rsidRPr="00533DA5">
        <w:rPr>
          <w:rFonts w:ascii="Tahoma" w:hAnsi="Tahoma" w:cs="Tahoma"/>
          <w:sz w:val="20"/>
          <w:szCs w:val="20"/>
        </w:rPr>
        <w:t xml:space="preserve"> </w:t>
      </w:r>
      <w:r w:rsidR="00AF20B9" w:rsidRPr="00533DA5">
        <w:rPr>
          <w:rFonts w:ascii="Tahoma" w:hAnsi="Tahoma" w:cs="Tahoma"/>
          <w:b/>
          <w:sz w:val="20"/>
          <w:szCs w:val="20"/>
        </w:rPr>
        <w:t>Dopuszczalna intensywność pomocy dla portów poniżej 700 tys. pax to 80%.</w:t>
      </w:r>
    </w:p>
    <w:p w14:paraId="60F58FF1" w14:textId="77777777" w:rsidR="009768D3" w:rsidRPr="00533DA5" w:rsidRDefault="009768D3" w:rsidP="009768D3">
      <w:pPr>
        <w:pStyle w:val="Akapitzlist"/>
        <w:numPr>
          <w:ilvl w:val="1"/>
          <w:numId w:val="4"/>
        </w:numPr>
        <w:spacing w:after="120" w:line="276" w:lineRule="auto"/>
        <w:contextualSpacing w:val="0"/>
        <w:jc w:val="both"/>
        <w:rPr>
          <w:rFonts w:ascii="Tahoma" w:hAnsi="Tahoma" w:cs="Tahoma"/>
          <w:sz w:val="20"/>
          <w:szCs w:val="20"/>
        </w:rPr>
      </w:pPr>
      <w:r w:rsidRPr="00533DA5">
        <w:rPr>
          <w:rFonts w:ascii="Tahoma" w:hAnsi="Tahoma" w:cs="Tahoma"/>
          <w:sz w:val="20"/>
          <w:szCs w:val="20"/>
        </w:rPr>
        <w:t>Przy obliczaniu maksymalnej wysokości pomocy publicznej operacyjnej, jakiej potencjalnie m</w:t>
      </w:r>
      <w:r w:rsidR="00777328" w:rsidRPr="00533DA5">
        <w:rPr>
          <w:rFonts w:ascii="Tahoma" w:hAnsi="Tahoma" w:cs="Tahoma"/>
          <w:sz w:val="20"/>
          <w:szCs w:val="20"/>
        </w:rPr>
        <w:t>ożna</w:t>
      </w:r>
      <w:r w:rsidRPr="00533DA5">
        <w:rPr>
          <w:rFonts w:ascii="Tahoma" w:hAnsi="Tahoma" w:cs="Tahoma"/>
          <w:sz w:val="20"/>
          <w:szCs w:val="20"/>
        </w:rPr>
        <w:t xml:space="preserve"> udzielić Spółce należy wziąć pod uwagę następujące okoliczności:</w:t>
      </w:r>
    </w:p>
    <w:p w14:paraId="47A00045" w14:textId="77777777" w:rsidR="009768D3" w:rsidRPr="00533DA5" w:rsidRDefault="009768D3" w:rsidP="00533DA5">
      <w:pPr>
        <w:pStyle w:val="Akapitzlist"/>
        <w:numPr>
          <w:ilvl w:val="0"/>
          <w:numId w:val="9"/>
        </w:numPr>
        <w:spacing w:after="0" w:line="240" w:lineRule="auto"/>
        <w:ind w:left="851"/>
        <w:contextualSpacing w:val="0"/>
        <w:jc w:val="both"/>
        <w:rPr>
          <w:rFonts w:ascii="Tahoma" w:hAnsi="Tahoma" w:cs="Tahoma"/>
          <w:sz w:val="20"/>
          <w:szCs w:val="20"/>
        </w:rPr>
      </w:pPr>
      <w:r w:rsidRPr="00533DA5">
        <w:rPr>
          <w:rFonts w:ascii="Tahoma" w:hAnsi="Tahoma" w:cs="Tahoma"/>
          <w:sz w:val="20"/>
          <w:szCs w:val="20"/>
        </w:rPr>
        <w:t xml:space="preserve">wartość pomocy operacyjnej musi zostać określona </w:t>
      </w:r>
      <w:r w:rsidRPr="00533DA5">
        <w:rPr>
          <w:rFonts w:ascii="Tahoma" w:hAnsi="Tahoma" w:cs="Tahoma"/>
          <w:b/>
          <w:bCs/>
          <w:i/>
          <w:iCs/>
          <w:sz w:val="20"/>
          <w:szCs w:val="20"/>
        </w:rPr>
        <w:t>ex ante</w:t>
      </w:r>
      <w:r w:rsidRPr="00533DA5">
        <w:rPr>
          <w:rFonts w:ascii="Tahoma" w:hAnsi="Tahoma" w:cs="Tahoma"/>
          <w:b/>
          <w:bCs/>
          <w:sz w:val="20"/>
          <w:szCs w:val="20"/>
        </w:rPr>
        <w:t xml:space="preserve"> tj. w momencie jej przyznania;</w:t>
      </w:r>
    </w:p>
    <w:p w14:paraId="60372A3C" w14:textId="71A087C9" w:rsidR="009768D3" w:rsidRPr="00533DA5" w:rsidRDefault="009768D3" w:rsidP="00533DA5">
      <w:pPr>
        <w:pStyle w:val="Akapitzlist"/>
        <w:numPr>
          <w:ilvl w:val="0"/>
          <w:numId w:val="9"/>
        </w:numPr>
        <w:spacing w:after="0" w:line="240" w:lineRule="auto"/>
        <w:ind w:left="851"/>
        <w:contextualSpacing w:val="0"/>
        <w:jc w:val="both"/>
        <w:rPr>
          <w:rFonts w:ascii="Tahoma" w:hAnsi="Tahoma" w:cs="Tahoma"/>
          <w:sz w:val="20"/>
          <w:szCs w:val="20"/>
        </w:rPr>
      </w:pPr>
      <w:r w:rsidRPr="00533DA5">
        <w:rPr>
          <w:rFonts w:ascii="Tahoma" w:hAnsi="Tahoma" w:cs="Tahoma"/>
          <w:sz w:val="20"/>
          <w:szCs w:val="20"/>
        </w:rPr>
        <w:lastRenderedPageBreak/>
        <w:t xml:space="preserve">koszty operacyjne ponoszone przez Spółkę muszą zostać pokryte </w:t>
      </w:r>
      <w:r w:rsidRPr="00533DA5">
        <w:rPr>
          <w:rFonts w:ascii="Tahoma" w:hAnsi="Tahoma" w:cs="Tahoma"/>
          <w:b/>
          <w:bCs/>
          <w:sz w:val="20"/>
          <w:szCs w:val="20"/>
        </w:rPr>
        <w:t xml:space="preserve">najpóźniej do chwili zakończenia </w:t>
      </w:r>
      <w:r w:rsidR="00E90C88">
        <w:rPr>
          <w:rFonts w:ascii="Tahoma" w:hAnsi="Tahoma" w:cs="Tahoma"/>
          <w:b/>
          <w:bCs/>
          <w:sz w:val="20"/>
          <w:szCs w:val="20"/>
        </w:rPr>
        <w:t>dziesięcio</w:t>
      </w:r>
      <w:r w:rsidR="00777328" w:rsidRPr="00533DA5">
        <w:rPr>
          <w:rFonts w:ascii="Tahoma" w:hAnsi="Tahoma" w:cs="Tahoma"/>
          <w:b/>
          <w:bCs/>
          <w:sz w:val="20"/>
          <w:szCs w:val="20"/>
        </w:rPr>
        <w:t xml:space="preserve">letniego </w:t>
      </w:r>
      <w:r w:rsidRPr="00533DA5">
        <w:rPr>
          <w:rFonts w:ascii="Tahoma" w:hAnsi="Tahoma" w:cs="Tahoma"/>
          <w:b/>
          <w:bCs/>
          <w:sz w:val="20"/>
          <w:szCs w:val="20"/>
        </w:rPr>
        <w:t>okresu przejściowego, tj. do 4 kwietnia 2024 r.</w:t>
      </w:r>
      <w:r w:rsidR="0001688B">
        <w:rPr>
          <w:rFonts w:ascii="Tahoma" w:hAnsi="Tahoma" w:cs="Tahoma"/>
          <w:sz w:val="20"/>
          <w:szCs w:val="20"/>
        </w:rPr>
        <w:t>;</w:t>
      </w:r>
    </w:p>
    <w:p w14:paraId="3F5C3177" w14:textId="77777777" w:rsidR="009768D3" w:rsidRPr="00533DA5" w:rsidRDefault="009768D3" w:rsidP="00533DA5">
      <w:pPr>
        <w:pStyle w:val="Akapitzlist"/>
        <w:numPr>
          <w:ilvl w:val="0"/>
          <w:numId w:val="9"/>
        </w:numPr>
        <w:spacing w:after="0" w:line="240" w:lineRule="auto"/>
        <w:ind w:left="851"/>
        <w:contextualSpacing w:val="0"/>
        <w:jc w:val="both"/>
        <w:rPr>
          <w:rFonts w:ascii="Tahoma" w:hAnsi="Tahoma" w:cs="Tahoma"/>
          <w:sz w:val="20"/>
          <w:szCs w:val="20"/>
        </w:rPr>
      </w:pPr>
      <w:r w:rsidRPr="00533DA5">
        <w:rPr>
          <w:rFonts w:ascii="Tahoma" w:hAnsi="Tahoma" w:cs="Tahoma"/>
          <w:sz w:val="20"/>
          <w:szCs w:val="20"/>
        </w:rPr>
        <w:t xml:space="preserve">do chwili obecnej </w:t>
      </w:r>
      <w:r w:rsidRPr="00533DA5">
        <w:rPr>
          <w:rFonts w:ascii="Tahoma" w:hAnsi="Tahoma" w:cs="Tahoma"/>
          <w:b/>
          <w:bCs/>
          <w:sz w:val="20"/>
          <w:szCs w:val="20"/>
        </w:rPr>
        <w:t>upłynęło już niemal 60% okresu przejściowego.</w:t>
      </w:r>
    </w:p>
    <w:p w14:paraId="4EE26AC3" w14:textId="77777777" w:rsidR="00533DA5" w:rsidRDefault="00533DA5" w:rsidP="004D02A5">
      <w:pPr>
        <w:jc w:val="both"/>
        <w:rPr>
          <w:rFonts w:ascii="Tahoma" w:hAnsi="Tahoma" w:cs="Tahoma"/>
          <w:b/>
          <w:sz w:val="20"/>
          <w:szCs w:val="20"/>
          <w:u w:val="single"/>
        </w:rPr>
      </w:pPr>
    </w:p>
    <w:p w14:paraId="5F268E15" w14:textId="77777777" w:rsidR="004D02A5" w:rsidRPr="00533DA5" w:rsidRDefault="00777328" w:rsidP="004D02A5">
      <w:pPr>
        <w:jc w:val="both"/>
        <w:rPr>
          <w:rFonts w:ascii="Tahoma" w:hAnsi="Tahoma" w:cs="Tahoma"/>
          <w:b/>
          <w:sz w:val="20"/>
          <w:szCs w:val="20"/>
          <w:u w:val="single"/>
        </w:rPr>
      </w:pPr>
      <w:r w:rsidRPr="00533DA5">
        <w:rPr>
          <w:rFonts w:ascii="Tahoma" w:hAnsi="Tahoma" w:cs="Tahoma"/>
          <w:b/>
          <w:sz w:val="20"/>
          <w:szCs w:val="20"/>
          <w:u w:val="single"/>
        </w:rPr>
        <w:t xml:space="preserve"> Warunki notyfikacji PL SZZ:</w:t>
      </w:r>
    </w:p>
    <w:p w14:paraId="6525B443" w14:textId="77777777" w:rsidR="001A177C" w:rsidRPr="00533DA5" w:rsidRDefault="00777328" w:rsidP="00777328">
      <w:pPr>
        <w:pStyle w:val="Akapitzlist"/>
        <w:numPr>
          <w:ilvl w:val="0"/>
          <w:numId w:val="10"/>
        </w:numPr>
        <w:tabs>
          <w:tab w:val="clear" w:pos="1485"/>
        </w:tabs>
        <w:ind w:left="567"/>
        <w:jc w:val="both"/>
        <w:rPr>
          <w:rFonts w:ascii="Tahoma" w:hAnsi="Tahoma" w:cs="Tahoma"/>
          <w:sz w:val="20"/>
          <w:szCs w:val="20"/>
        </w:rPr>
      </w:pPr>
      <w:r w:rsidRPr="00533DA5">
        <w:rPr>
          <w:rFonts w:ascii="Tahoma" w:hAnsi="Tahoma" w:cs="Tahoma"/>
          <w:sz w:val="20"/>
          <w:szCs w:val="20"/>
        </w:rPr>
        <w:t>S</w:t>
      </w:r>
      <w:r w:rsidR="00CF1F93" w:rsidRPr="00533DA5">
        <w:rPr>
          <w:rFonts w:ascii="Tahoma" w:hAnsi="Tahoma" w:cs="Tahoma"/>
          <w:sz w:val="20"/>
          <w:szCs w:val="20"/>
        </w:rPr>
        <w:t xml:space="preserve">ytuacja finansowa Spółki powoduje, iż w dokumentacji notyfikacyjnej zawartych jest </w:t>
      </w:r>
      <w:r w:rsidR="00CF1F93" w:rsidRPr="00533DA5">
        <w:rPr>
          <w:rFonts w:ascii="Tahoma" w:hAnsi="Tahoma" w:cs="Tahoma"/>
          <w:b/>
          <w:bCs/>
          <w:sz w:val="20"/>
          <w:szCs w:val="20"/>
        </w:rPr>
        <w:t>szereg odstępstw od wymogów wyznaczonych przez Wytyczne lotniskowe</w:t>
      </w:r>
      <w:r w:rsidRPr="00533DA5">
        <w:rPr>
          <w:rFonts w:ascii="Tahoma" w:hAnsi="Tahoma" w:cs="Tahoma"/>
          <w:b/>
          <w:bCs/>
          <w:sz w:val="20"/>
          <w:szCs w:val="20"/>
        </w:rPr>
        <w:t xml:space="preserve">, </w:t>
      </w:r>
      <w:r w:rsidRPr="00533DA5">
        <w:rPr>
          <w:rFonts w:ascii="Tahoma" w:hAnsi="Tahoma" w:cs="Tahoma"/>
          <w:bCs/>
          <w:sz w:val="20"/>
          <w:szCs w:val="20"/>
        </w:rPr>
        <w:t xml:space="preserve">najważniejsze </w:t>
      </w:r>
      <w:r w:rsidR="00533DA5">
        <w:rPr>
          <w:rFonts w:ascii="Tahoma" w:hAnsi="Tahoma" w:cs="Tahoma"/>
          <w:bCs/>
          <w:sz w:val="20"/>
          <w:szCs w:val="20"/>
        </w:rPr>
        <w:br/>
      </w:r>
      <w:r w:rsidR="005538A2" w:rsidRPr="00533DA5">
        <w:rPr>
          <w:rFonts w:ascii="Tahoma" w:hAnsi="Tahoma" w:cs="Tahoma"/>
          <w:bCs/>
          <w:sz w:val="20"/>
          <w:szCs w:val="20"/>
        </w:rPr>
        <w:t>to:</w:t>
      </w:r>
    </w:p>
    <w:p w14:paraId="7281591C" w14:textId="77777777" w:rsidR="001A177C" w:rsidRPr="00533DA5" w:rsidRDefault="00CF1F93" w:rsidP="00533DA5">
      <w:pPr>
        <w:numPr>
          <w:ilvl w:val="1"/>
          <w:numId w:val="13"/>
        </w:numPr>
        <w:spacing w:after="0" w:line="240" w:lineRule="auto"/>
        <w:ind w:left="1418" w:hanging="502"/>
        <w:jc w:val="both"/>
        <w:rPr>
          <w:rFonts w:ascii="Tahoma" w:hAnsi="Tahoma" w:cs="Tahoma"/>
          <w:sz w:val="20"/>
          <w:szCs w:val="20"/>
        </w:rPr>
      </w:pPr>
      <w:r w:rsidRPr="00533DA5">
        <w:rPr>
          <w:rFonts w:ascii="Tahoma" w:hAnsi="Tahoma" w:cs="Tahoma"/>
          <w:sz w:val="20"/>
          <w:szCs w:val="20"/>
        </w:rPr>
        <w:t>wniosk</w:t>
      </w:r>
      <w:r w:rsidR="005538A2" w:rsidRPr="00533DA5">
        <w:rPr>
          <w:rFonts w:ascii="Tahoma" w:hAnsi="Tahoma" w:cs="Tahoma"/>
          <w:sz w:val="20"/>
          <w:szCs w:val="20"/>
        </w:rPr>
        <w:t>owanie</w:t>
      </w:r>
      <w:r w:rsidRPr="00533DA5">
        <w:rPr>
          <w:rFonts w:ascii="Tahoma" w:hAnsi="Tahoma" w:cs="Tahoma"/>
          <w:sz w:val="20"/>
          <w:szCs w:val="20"/>
        </w:rPr>
        <w:t xml:space="preserve"> o wyrażenie przez KE zgody na pomoc operacyjną w okresie </w:t>
      </w:r>
      <w:r w:rsidRPr="00533DA5">
        <w:rPr>
          <w:rFonts w:ascii="Tahoma" w:hAnsi="Tahoma" w:cs="Tahoma"/>
          <w:b/>
          <w:bCs/>
          <w:sz w:val="20"/>
          <w:szCs w:val="20"/>
        </w:rPr>
        <w:t xml:space="preserve">do 2028 roku </w:t>
      </w:r>
      <w:r w:rsidRPr="00533DA5">
        <w:rPr>
          <w:rFonts w:ascii="Tahoma" w:hAnsi="Tahoma" w:cs="Tahoma"/>
          <w:sz w:val="20"/>
          <w:szCs w:val="20"/>
        </w:rPr>
        <w:t xml:space="preserve">włącznie, </w:t>
      </w:r>
      <w:r w:rsidRPr="00533DA5">
        <w:rPr>
          <w:rFonts w:ascii="Tahoma" w:hAnsi="Tahoma" w:cs="Tahoma"/>
          <w:b/>
          <w:sz w:val="20"/>
          <w:szCs w:val="20"/>
        </w:rPr>
        <w:t xml:space="preserve">co jest okresem </w:t>
      </w:r>
      <w:r w:rsidR="00E90C88">
        <w:rPr>
          <w:rFonts w:ascii="Tahoma" w:hAnsi="Tahoma" w:cs="Tahoma"/>
          <w:b/>
          <w:sz w:val="20"/>
          <w:szCs w:val="20"/>
        </w:rPr>
        <w:t xml:space="preserve">o </w:t>
      </w:r>
      <w:r w:rsidRPr="00533DA5">
        <w:rPr>
          <w:rFonts w:ascii="Tahoma" w:hAnsi="Tahoma" w:cs="Tahoma"/>
          <w:b/>
          <w:sz w:val="20"/>
          <w:szCs w:val="20"/>
        </w:rPr>
        <w:t>5 lat dłuższym</w:t>
      </w:r>
      <w:r w:rsidRPr="00533DA5">
        <w:rPr>
          <w:rFonts w:ascii="Tahoma" w:hAnsi="Tahoma" w:cs="Tahoma"/>
          <w:sz w:val="20"/>
          <w:szCs w:val="20"/>
        </w:rPr>
        <w:t xml:space="preserve"> od określonego w Wytycznych</w:t>
      </w:r>
      <w:r w:rsidR="005538A2" w:rsidRPr="00533DA5">
        <w:rPr>
          <w:rFonts w:ascii="Tahoma" w:hAnsi="Tahoma" w:cs="Tahoma"/>
          <w:sz w:val="20"/>
          <w:szCs w:val="20"/>
        </w:rPr>
        <w:t xml:space="preserve"> (brak możliwości skrócenia tego okresu wynika z wyliczeń biznesplanu);</w:t>
      </w:r>
    </w:p>
    <w:p w14:paraId="67448127" w14:textId="77777777" w:rsidR="005538A2" w:rsidRPr="00533DA5" w:rsidRDefault="005538A2" w:rsidP="00533DA5">
      <w:pPr>
        <w:pStyle w:val="Akapitzlist"/>
        <w:numPr>
          <w:ilvl w:val="0"/>
          <w:numId w:val="13"/>
        </w:numPr>
        <w:spacing w:after="0" w:line="240" w:lineRule="auto"/>
        <w:contextualSpacing w:val="0"/>
        <w:jc w:val="both"/>
        <w:rPr>
          <w:rFonts w:ascii="Tahoma" w:hAnsi="Tahoma" w:cs="Tahoma"/>
          <w:sz w:val="20"/>
          <w:szCs w:val="20"/>
        </w:rPr>
      </w:pPr>
      <w:r w:rsidRPr="00533DA5">
        <w:rPr>
          <w:rFonts w:ascii="Tahoma" w:hAnsi="Tahoma" w:cs="Tahoma"/>
          <w:color w:val="000000"/>
          <w:sz w:val="20"/>
          <w:szCs w:val="20"/>
        </w:rPr>
        <w:t>pomoc inwestycyjna od PPL przekracza maksymalny</w:t>
      </w:r>
      <w:r w:rsidR="005E05D9" w:rsidRPr="00533DA5">
        <w:rPr>
          <w:rFonts w:ascii="Tahoma" w:hAnsi="Tahoma" w:cs="Tahoma"/>
          <w:color w:val="000000"/>
          <w:sz w:val="20"/>
          <w:szCs w:val="20"/>
        </w:rPr>
        <w:t xml:space="preserve"> 75-cio% poziom</w:t>
      </w:r>
      <w:r w:rsidRPr="00533DA5">
        <w:rPr>
          <w:rFonts w:ascii="Tahoma" w:hAnsi="Tahoma" w:cs="Tahoma"/>
          <w:color w:val="000000"/>
          <w:sz w:val="20"/>
          <w:szCs w:val="20"/>
        </w:rPr>
        <w:t xml:space="preserve"> kosztów kwalifikowanych</w:t>
      </w:r>
      <w:r w:rsidR="005E05D9" w:rsidRPr="00533DA5">
        <w:rPr>
          <w:rFonts w:ascii="Tahoma" w:hAnsi="Tahoma" w:cs="Tahoma"/>
          <w:color w:val="000000"/>
          <w:sz w:val="20"/>
          <w:szCs w:val="20"/>
        </w:rPr>
        <w:t xml:space="preserve"> (limit intensywności)</w:t>
      </w:r>
      <w:r w:rsidR="0001688B">
        <w:rPr>
          <w:rFonts w:ascii="Tahoma" w:hAnsi="Tahoma" w:cs="Tahoma"/>
          <w:color w:val="000000"/>
          <w:sz w:val="20"/>
          <w:szCs w:val="20"/>
        </w:rPr>
        <w:t>,</w:t>
      </w:r>
      <w:r w:rsidR="005E05D9" w:rsidRPr="00533DA5">
        <w:rPr>
          <w:rFonts w:ascii="Tahoma" w:hAnsi="Tahoma" w:cs="Tahoma"/>
          <w:color w:val="000000"/>
          <w:sz w:val="20"/>
          <w:szCs w:val="20"/>
        </w:rPr>
        <w:t xml:space="preserve"> gdyż</w:t>
      </w:r>
      <w:r w:rsidRPr="00533DA5">
        <w:rPr>
          <w:rFonts w:ascii="Tahoma" w:hAnsi="Tahoma" w:cs="Tahoma"/>
          <w:color w:val="000000"/>
          <w:sz w:val="20"/>
          <w:szCs w:val="20"/>
        </w:rPr>
        <w:t xml:space="preserve"> Spółk</w:t>
      </w:r>
      <w:r w:rsidR="005E05D9" w:rsidRPr="00533DA5">
        <w:rPr>
          <w:rFonts w:ascii="Tahoma" w:hAnsi="Tahoma" w:cs="Tahoma"/>
          <w:color w:val="000000"/>
          <w:sz w:val="20"/>
          <w:szCs w:val="20"/>
        </w:rPr>
        <w:t>a nie jest w stanie pozyskać</w:t>
      </w:r>
      <w:r w:rsidRPr="00533DA5">
        <w:rPr>
          <w:rFonts w:ascii="Tahoma" w:hAnsi="Tahoma" w:cs="Tahoma"/>
          <w:color w:val="000000"/>
          <w:sz w:val="20"/>
          <w:szCs w:val="20"/>
        </w:rPr>
        <w:t xml:space="preserve"> wyższego rynkowego wkładu własnego;</w:t>
      </w:r>
      <w:r w:rsidR="005E05D9" w:rsidRPr="00533DA5">
        <w:rPr>
          <w:rFonts w:ascii="Tahoma" w:hAnsi="Tahoma" w:cs="Tahoma"/>
          <w:color w:val="000000"/>
          <w:sz w:val="20"/>
          <w:szCs w:val="20"/>
        </w:rPr>
        <w:t xml:space="preserve"> </w:t>
      </w:r>
      <w:r w:rsidR="005E05D9" w:rsidRPr="00533DA5">
        <w:rPr>
          <w:rFonts w:ascii="Tahoma" w:hAnsi="Tahoma" w:cs="Tahoma"/>
          <w:b/>
          <w:color w:val="000000"/>
          <w:sz w:val="20"/>
          <w:szCs w:val="20"/>
        </w:rPr>
        <w:t>notyfikowany poziom to 87,6%;</w:t>
      </w:r>
    </w:p>
    <w:p w14:paraId="4A1BAA48" w14:textId="36862055" w:rsidR="005538A2" w:rsidRPr="00533DA5" w:rsidRDefault="005538A2" w:rsidP="00533DA5">
      <w:pPr>
        <w:pStyle w:val="Akapitzlist"/>
        <w:numPr>
          <w:ilvl w:val="0"/>
          <w:numId w:val="13"/>
        </w:numPr>
        <w:spacing w:after="0" w:line="240" w:lineRule="auto"/>
        <w:contextualSpacing w:val="0"/>
        <w:jc w:val="both"/>
        <w:rPr>
          <w:rFonts w:ascii="Tahoma" w:hAnsi="Tahoma" w:cs="Tahoma"/>
          <w:sz w:val="20"/>
          <w:szCs w:val="20"/>
        </w:rPr>
      </w:pPr>
      <w:r w:rsidRPr="00533DA5">
        <w:rPr>
          <w:rFonts w:ascii="Tahoma" w:hAnsi="Tahoma" w:cs="Tahoma"/>
          <w:sz w:val="20"/>
          <w:szCs w:val="20"/>
        </w:rPr>
        <w:t>brak jest możliwości uznania, że w polskim systemie prawnym dopuszczalne jest finansowanie publiczne działalności związanej z bezpieczeństwem lotniska jako niestanowiące pomocy publicznej;</w:t>
      </w:r>
      <w:r w:rsidR="005E05D9" w:rsidRPr="00533DA5">
        <w:rPr>
          <w:rFonts w:ascii="Tahoma" w:hAnsi="Tahoma" w:cs="Tahoma"/>
          <w:sz w:val="20"/>
          <w:szCs w:val="20"/>
        </w:rPr>
        <w:t xml:space="preserve"> wg. </w:t>
      </w:r>
      <w:r w:rsidR="005E05D9" w:rsidRPr="00533DA5">
        <w:rPr>
          <w:rFonts w:ascii="Tahoma" w:hAnsi="Tahoma" w:cs="Tahoma"/>
          <w:b/>
          <w:sz w:val="20"/>
          <w:szCs w:val="20"/>
        </w:rPr>
        <w:t>UOKiK wydatki na ten cel zwiększają intensywność do poziomu 89,6%</w:t>
      </w:r>
      <w:r w:rsidR="005E05D9" w:rsidRPr="00533DA5">
        <w:rPr>
          <w:rFonts w:ascii="Tahoma" w:hAnsi="Tahoma" w:cs="Tahoma"/>
          <w:sz w:val="20"/>
          <w:szCs w:val="20"/>
        </w:rPr>
        <w:t>;</w:t>
      </w:r>
    </w:p>
    <w:p w14:paraId="22606253" w14:textId="77777777" w:rsidR="00AF20B9" w:rsidRPr="00533DA5" w:rsidRDefault="005538A2" w:rsidP="00050C92">
      <w:pPr>
        <w:pStyle w:val="Akapitzlist"/>
        <w:numPr>
          <w:ilvl w:val="0"/>
          <w:numId w:val="13"/>
        </w:numPr>
        <w:spacing w:after="0" w:line="240" w:lineRule="auto"/>
        <w:contextualSpacing w:val="0"/>
        <w:jc w:val="both"/>
        <w:rPr>
          <w:rFonts w:ascii="Tahoma" w:hAnsi="Tahoma" w:cs="Tahoma"/>
          <w:sz w:val="20"/>
          <w:szCs w:val="20"/>
        </w:rPr>
      </w:pPr>
      <w:r w:rsidRPr="00533DA5">
        <w:rPr>
          <w:rFonts w:ascii="Tahoma" w:hAnsi="Tahoma" w:cs="Tahoma"/>
          <w:color w:val="000000"/>
          <w:sz w:val="20"/>
          <w:szCs w:val="20"/>
        </w:rPr>
        <w:t>przekroczony został maksymalny</w:t>
      </w:r>
      <w:r w:rsidR="0001688B">
        <w:rPr>
          <w:rFonts w:ascii="Tahoma" w:hAnsi="Tahoma" w:cs="Tahoma"/>
          <w:color w:val="000000"/>
          <w:sz w:val="20"/>
          <w:szCs w:val="20"/>
        </w:rPr>
        <w:t xml:space="preserve"> 80%</w:t>
      </w:r>
      <w:r w:rsidRPr="00533DA5">
        <w:rPr>
          <w:rFonts w:ascii="Tahoma" w:hAnsi="Tahoma" w:cs="Tahoma"/>
          <w:color w:val="000000"/>
          <w:sz w:val="20"/>
          <w:szCs w:val="20"/>
        </w:rPr>
        <w:t xml:space="preserve"> limit pomocy operacyjnej (w tym wynikający </w:t>
      </w:r>
      <w:r w:rsidR="00AF20B9" w:rsidRPr="00533DA5">
        <w:rPr>
          <w:rFonts w:ascii="Tahoma" w:hAnsi="Tahoma" w:cs="Tahoma"/>
          <w:color w:val="000000"/>
          <w:sz w:val="20"/>
          <w:szCs w:val="20"/>
        </w:rPr>
        <w:br/>
      </w:r>
      <w:r w:rsidRPr="00533DA5">
        <w:rPr>
          <w:rFonts w:ascii="Tahoma" w:hAnsi="Tahoma" w:cs="Tahoma"/>
          <w:color w:val="000000"/>
          <w:sz w:val="20"/>
          <w:szCs w:val="20"/>
        </w:rPr>
        <w:t xml:space="preserve">z dotychczasowej praktyki KE), którą już udzielili i mają udzielać </w:t>
      </w:r>
      <w:r w:rsidR="00AF20B9" w:rsidRPr="00533DA5">
        <w:rPr>
          <w:rFonts w:ascii="Tahoma" w:hAnsi="Tahoma" w:cs="Tahoma"/>
          <w:color w:val="000000"/>
          <w:sz w:val="20"/>
          <w:szCs w:val="20"/>
        </w:rPr>
        <w:t>W</w:t>
      </w:r>
      <w:r w:rsidRPr="00533DA5">
        <w:rPr>
          <w:rFonts w:ascii="Tahoma" w:hAnsi="Tahoma" w:cs="Tahoma"/>
          <w:color w:val="000000"/>
          <w:sz w:val="20"/>
          <w:szCs w:val="20"/>
        </w:rPr>
        <w:t xml:space="preserve">spólnicy </w:t>
      </w:r>
      <w:r w:rsidR="00AF20B9" w:rsidRPr="00533DA5">
        <w:rPr>
          <w:rFonts w:ascii="Tahoma" w:hAnsi="Tahoma" w:cs="Tahoma"/>
          <w:color w:val="000000"/>
          <w:sz w:val="20"/>
          <w:szCs w:val="20"/>
        </w:rPr>
        <w:t>S</w:t>
      </w:r>
      <w:r w:rsidRPr="00533DA5">
        <w:rPr>
          <w:rFonts w:ascii="Tahoma" w:hAnsi="Tahoma" w:cs="Tahoma"/>
          <w:color w:val="000000"/>
          <w:sz w:val="20"/>
          <w:szCs w:val="20"/>
        </w:rPr>
        <w:t>amorządowi,</w:t>
      </w:r>
      <w:r w:rsidR="00050C92" w:rsidRPr="00533DA5">
        <w:rPr>
          <w:rFonts w:ascii="Tahoma" w:hAnsi="Tahoma" w:cs="Tahoma"/>
          <w:color w:val="000000"/>
          <w:sz w:val="20"/>
          <w:szCs w:val="20"/>
        </w:rPr>
        <w:t xml:space="preserve"> </w:t>
      </w:r>
      <w:r w:rsidRPr="00533DA5">
        <w:rPr>
          <w:rFonts w:ascii="Tahoma" w:hAnsi="Tahoma" w:cs="Tahoma"/>
          <w:color w:val="000000"/>
          <w:sz w:val="20"/>
          <w:szCs w:val="20"/>
        </w:rPr>
        <w:t xml:space="preserve">z uwagi na objęcie nią spłaty kredytu inwestycyjnego, którego </w:t>
      </w:r>
      <w:r w:rsidR="0001688B" w:rsidRPr="00533DA5">
        <w:rPr>
          <w:rFonts w:ascii="Tahoma" w:hAnsi="Tahoma" w:cs="Tahoma"/>
          <w:color w:val="000000"/>
          <w:sz w:val="20"/>
          <w:szCs w:val="20"/>
        </w:rPr>
        <w:t xml:space="preserve">Spółka </w:t>
      </w:r>
      <w:r w:rsidRPr="00533DA5">
        <w:rPr>
          <w:rFonts w:ascii="Tahoma" w:hAnsi="Tahoma" w:cs="Tahoma"/>
          <w:color w:val="000000"/>
          <w:sz w:val="20"/>
          <w:szCs w:val="20"/>
        </w:rPr>
        <w:t>nie jest w stanie obsługiwać samodzielnie</w:t>
      </w:r>
      <w:r w:rsidR="00AF20B9" w:rsidRPr="00533DA5">
        <w:rPr>
          <w:rFonts w:ascii="Tahoma" w:hAnsi="Tahoma" w:cs="Tahoma"/>
          <w:color w:val="000000"/>
          <w:sz w:val="20"/>
          <w:szCs w:val="20"/>
        </w:rPr>
        <w:t xml:space="preserve">; </w:t>
      </w:r>
      <w:r w:rsidR="00AF20B9" w:rsidRPr="00533DA5">
        <w:rPr>
          <w:rFonts w:ascii="Tahoma" w:hAnsi="Tahoma" w:cs="Tahoma"/>
          <w:b/>
          <w:color w:val="000000"/>
          <w:sz w:val="20"/>
          <w:szCs w:val="20"/>
        </w:rPr>
        <w:t>notyfikowany poziom to 100%;</w:t>
      </w:r>
    </w:p>
    <w:p w14:paraId="66A8DFA5" w14:textId="77777777" w:rsidR="00AF20B9" w:rsidRPr="00533DA5" w:rsidRDefault="00AF20B9" w:rsidP="00050C92">
      <w:pPr>
        <w:pStyle w:val="Akapitzlist"/>
        <w:numPr>
          <w:ilvl w:val="0"/>
          <w:numId w:val="13"/>
        </w:numPr>
        <w:spacing w:after="0" w:line="240" w:lineRule="auto"/>
        <w:contextualSpacing w:val="0"/>
        <w:jc w:val="both"/>
        <w:rPr>
          <w:rFonts w:ascii="Tahoma" w:hAnsi="Tahoma" w:cs="Tahoma"/>
          <w:sz w:val="20"/>
          <w:szCs w:val="20"/>
        </w:rPr>
      </w:pPr>
      <w:r w:rsidRPr="00533DA5">
        <w:rPr>
          <w:rFonts w:ascii="Tahoma" w:hAnsi="Tahoma" w:cs="Tahoma"/>
          <w:color w:val="000000"/>
          <w:sz w:val="20"/>
          <w:szCs w:val="20"/>
        </w:rPr>
        <w:t xml:space="preserve">brak jest szczegółowych informacji i sprawozdań w zakresie nielegalnej pomocy operacyjnej wypłacanej Spółce przez Wspólników Samorządowych w przeszłości (brak sprawozdawczości w </w:t>
      </w:r>
      <w:r w:rsidR="00050C92" w:rsidRPr="00533DA5">
        <w:rPr>
          <w:rFonts w:ascii="Tahoma" w:hAnsi="Tahoma" w:cs="Tahoma"/>
          <w:color w:val="000000"/>
          <w:sz w:val="20"/>
          <w:szCs w:val="20"/>
        </w:rPr>
        <w:t xml:space="preserve">systemie </w:t>
      </w:r>
      <w:r w:rsidRPr="00533DA5">
        <w:rPr>
          <w:rFonts w:ascii="Tahoma" w:hAnsi="Tahoma" w:cs="Tahoma"/>
          <w:color w:val="000000"/>
          <w:sz w:val="20"/>
          <w:szCs w:val="20"/>
        </w:rPr>
        <w:t>SUDOP</w:t>
      </w:r>
      <w:r w:rsidR="00050C92" w:rsidRPr="00533DA5">
        <w:rPr>
          <w:rFonts w:ascii="Tahoma" w:hAnsi="Tahoma" w:cs="Tahoma"/>
          <w:color w:val="000000"/>
          <w:sz w:val="20"/>
          <w:szCs w:val="20"/>
        </w:rPr>
        <w:t xml:space="preserve"> i</w:t>
      </w:r>
      <w:r w:rsidRPr="00533DA5">
        <w:rPr>
          <w:rFonts w:ascii="Tahoma" w:hAnsi="Tahoma" w:cs="Tahoma"/>
          <w:color w:val="000000"/>
          <w:sz w:val="20"/>
          <w:szCs w:val="20"/>
        </w:rPr>
        <w:t xml:space="preserve"> SHRIMP);</w:t>
      </w:r>
    </w:p>
    <w:p w14:paraId="7798A071" w14:textId="77777777" w:rsidR="005538A2" w:rsidRPr="00533DA5" w:rsidRDefault="005538A2" w:rsidP="00050C92">
      <w:pPr>
        <w:tabs>
          <w:tab w:val="num" w:pos="1560"/>
        </w:tabs>
        <w:spacing w:after="0" w:line="240" w:lineRule="auto"/>
        <w:ind w:left="633"/>
        <w:jc w:val="both"/>
        <w:rPr>
          <w:rFonts w:ascii="Tahoma" w:hAnsi="Tahoma" w:cs="Tahoma"/>
          <w:sz w:val="20"/>
          <w:szCs w:val="20"/>
        </w:rPr>
      </w:pPr>
      <w:r w:rsidRPr="00533DA5">
        <w:rPr>
          <w:rFonts w:ascii="Tahoma" w:hAnsi="Tahoma" w:cs="Tahoma"/>
          <w:color w:val="000000"/>
          <w:sz w:val="20"/>
          <w:szCs w:val="20"/>
        </w:rPr>
        <w:t xml:space="preserve"> </w:t>
      </w:r>
    </w:p>
    <w:p w14:paraId="355017A5" w14:textId="77777777" w:rsidR="001A177C" w:rsidRPr="00533DA5" w:rsidRDefault="0001688B" w:rsidP="00CF1F93">
      <w:pPr>
        <w:numPr>
          <w:ilvl w:val="0"/>
          <w:numId w:val="1"/>
        </w:numPr>
        <w:jc w:val="both"/>
        <w:rPr>
          <w:rFonts w:ascii="Tahoma" w:hAnsi="Tahoma" w:cs="Tahoma"/>
          <w:sz w:val="20"/>
          <w:szCs w:val="20"/>
        </w:rPr>
      </w:pPr>
      <w:r>
        <w:rPr>
          <w:rFonts w:ascii="Tahoma" w:hAnsi="Tahoma" w:cs="Tahoma"/>
          <w:sz w:val="20"/>
          <w:szCs w:val="20"/>
        </w:rPr>
        <w:t>Dodatkowo z</w:t>
      </w:r>
      <w:r w:rsidR="00CF1F93" w:rsidRPr="00533DA5">
        <w:rPr>
          <w:rFonts w:ascii="Tahoma" w:hAnsi="Tahoma" w:cs="Tahoma"/>
          <w:sz w:val="20"/>
          <w:szCs w:val="20"/>
        </w:rPr>
        <w:t xml:space="preserve">łożony do UOKiK </w:t>
      </w:r>
      <w:r w:rsidR="00E90C88">
        <w:rPr>
          <w:rFonts w:ascii="Tahoma" w:hAnsi="Tahoma" w:cs="Tahoma"/>
          <w:sz w:val="20"/>
          <w:szCs w:val="20"/>
        </w:rPr>
        <w:t xml:space="preserve">21 sierpnia 2020 roku </w:t>
      </w:r>
      <w:r w:rsidR="00CF1F93" w:rsidRPr="00533DA5">
        <w:rPr>
          <w:rFonts w:ascii="Tahoma" w:hAnsi="Tahoma" w:cs="Tahoma"/>
          <w:sz w:val="20"/>
          <w:szCs w:val="20"/>
        </w:rPr>
        <w:t>wraz z</w:t>
      </w:r>
      <w:r w:rsidR="00050C92" w:rsidRPr="00533DA5">
        <w:rPr>
          <w:rFonts w:ascii="Tahoma" w:hAnsi="Tahoma" w:cs="Tahoma"/>
          <w:sz w:val="20"/>
          <w:szCs w:val="20"/>
        </w:rPr>
        <w:t>e wspólnym</w:t>
      </w:r>
      <w:r w:rsidR="00CF1F93" w:rsidRPr="00533DA5">
        <w:rPr>
          <w:rFonts w:ascii="Tahoma" w:hAnsi="Tahoma" w:cs="Tahoma"/>
          <w:sz w:val="20"/>
          <w:szCs w:val="20"/>
        </w:rPr>
        <w:t xml:space="preserve"> wnioskiem notyfikacyjnym biznesplan </w:t>
      </w:r>
      <w:r w:rsidR="00CF1F93" w:rsidRPr="00533DA5">
        <w:rPr>
          <w:rFonts w:ascii="Tahoma" w:hAnsi="Tahoma" w:cs="Tahoma"/>
          <w:b/>
          <w:bCs/>
          <w:sz w:val="20"/>
          <w:szCs w:val="20"/>
        </w:rPr>
        <w:t>nie uwzględnia skutków pandemii Covid-19</w:t>
      </w:r>
      <w:r w:rsidR="00CF6C2E" w:rsidRPr="00533DA5">
        <w:rPr>
          <w:rFonts w:ascii="Tahoma" w:hAnsi="Tahoma" w:cs="Tahoma"/>
          <w:b/>
          <w:bCs/>
          <w:sz w:val="20"/>
          <w:szCs w:val="20"/>
        </w:rPr>
        <w:t xml:space="preserve"> </w:t>
      </w:r>
      <w:r w:rsidR="00CF6C2E" w:rsidRPr="00533DA5">
        <w:rPr>
          <w:rFonts w:ascii="Tahoma" w:hAnsi="Tahoma" w:cs="Tahoma"/>
          <w:bCs/>
          <w:sz w:val="20"/>
          <w:szCs w:val="20"/>
        </w:rPr>
        <w:t xml:space="preserve">(pierwotny wniosek PPL złożony został we </w:t>
      </w:r>
      <w:r w:rsidR="00CF1F93">
        <w:rPr>
          <w:rFonts w:ascii="Tahoma" w:hAnsi="Tahoma" w:cs="Tahoma"/>
          <w:bCs/>
          <w:sz w:val="20"/>
          <w:szCs w:val="20"/>
        </w:rPr>
        <w:t>w</w:t>
      </w:r>
      <w:r w:rsidR="00CF6C2E" w:rsidRPr="00533DA5">
        <w:rPr>
          <w:rFonts w:ascii="Tahoma" w:hAnsi="Tahoma" w:cs="Tahoma"/>
          <w:bCs/>
          <w:sz w:val="20"/>
          <w:szCs w:val="20"/>
        </w:rPr>
        <w:t>rześniu 2019r.)</w:t>
      </w:r>
      <w:r w:rsidR="00CF1F93" w:rsidRPr="00533DA5">
        <w:rPr>
          <w:rFonts w:ascii="Tahoma" w:hAnsi="Tahoma" w:cs="Tahoma"/>
          <w:b/>
          <w:bCs/>
          <w:sz w:val="20"/>
          <w:szCs w:val="20"/>
        </w:rPr>
        <w:t xml:space="preserve">. </w:t>
      </w:r>
      <w:r w:rsidR="005F389B" w:rsidRPr="005A65E7">
        <w:rPr>
          <w:rFonts w:ascii="Tahoma" w:hAnsi="Tahoma" w:cs="Tahoma"/>
          <w:bCs/>
          <w:sz w:val="20"/>
          <w:szCs w:val="20"/>
        </w:rPr>
        <w:t xml:space="preserve">W związku z tym, należy zauważyć, iż zmiana prognoz finansowych opartych o prognozy ruchu lotniczego PL Szczecin może </w:t>
      </w:r>
      <w:r w:rsidR="005F389B">
        <w:rPr>
          <w:rFonts w:ascii="Tahoma" w:hAnsi="Tahoma" w:cs="Tahoma"/>
          <w:bCs/>
          <w:sz w:val="20"/>
          <w:szCs w:val="20"/>
        </w:rPr>
        <w:t>spowodować, iż pomoc inwestycyjna dla Spółki może stać się nieuzasadniona w kontekście regulacji unijnych lub zostać odsunięta w czasie. Dlatego też PPL i Wspólnicy Samorządowi zdecydowali o złożeniu wniosku notyfikacyjnego bez aktualizacji prognoz.</w:t>
      </w:r>
    </w:p>
    <w:p w14:paraId="5CA7F3E0" w14:textId="77777777" w:rsidR="00050C92" w:rsidRPr="00533DA5" w:rsidRDefault="00CF6C2E" w:rsidP="00CF6C2E">
      <w:pPr>
        <w:numPr>
          <w:ilvl w:val="0"/>
          <w:numId w:val="1"/>
        </w:numPr>
        <w:jc w:val="both"/>
        <w:rPr>
          <w:rFonts w:ascii="Tahoma" w:hAnsi="Tahoma" w:cs="Tahoma"/>
          <w:sz w:val="20"/>
          <w:szCs w:val="20"/>
        </w:rPr>
      </w:pPr>
      <w:r w:rsidRPr="00533DA5">
        <w:rPr>
          <w:rFonts w:ascii="Tahoma" w:hAnsi="Tahoma" w:cs="Tahoma"/>
          <w:bCs/>
          <w:sz w:val="20"/>
          <w:szCs w:val="20"/>
        </w:rPr>
        <w:t>Z rozmów z Doradcą wynika, iż z</w:t>
      </w:r>
      <w:r w:rsidR="00050C92" w:rsidRPr="00533DA5">
        <w:rPr>
          <w:rFonts w:ascii="Tahoma" w:hAnsi="Tahoma" w:cs="Tahoma"/>
          <w:bCs/>
          <w:sz w:val="20"/>
          <w:szCs w:val="20"/>
        </w:rPr>
        <w:t xml:space="preserve">godnie z najlepszą wiedzą DZP, KE do tej pory nie rozpatrywała wniosku z taką ilością </w:t>
      </w:r>
      <w:r w:rsidRPr="00533DA5">
        <w:rPr>
          <w:rFonts w:ascii="Tahoma" w:hAnsi="Tahoma" w:cs="Tahoma"/>
          <w:bCs/>
          <w:sz w:val="20"/>
          <w:szCs w:val="20"/>
        </w:rPr>
        <w:t xml:space="preserve">i wagą </w:t>
      </w:r>
      <w:r w:rsidR="00050C92" w:rsidRPr="00533DA5">
        <w:rPr>
          <w:rFonts w:ascii="Tahoma" w:hAnsi="Tahoma" w:cs="Tahoma"/>
          <w:bCs/>
          <w:sz w:val="20"/>
          <w:szCs w:val="20"/>
        </w:rPr>
        <w:t>odstępstw</w:t>
      </w:r>
      <w:r w:rsidRPr="00533DA5">
        <w:rPr>
          <w:rFonts w:ascii="Tahoma" w:hAnsi="Tahoma" w:cs="Tahoma"/>
          <w:bCs/>
          <w:sz w:val="20"/>
          <w:szCs w:val="20"/>
        </w:rPr>
        <w:t>.</w:t>
      </w:r>
      <w:r w:rsidR="00050C92" w:rsidRPr="00533DA5">
        <w:rPr>
          <w:rFonts w:ascii="Tahoma" w:hAnsi="Tahoma" w:cs="Tahoma"/>
          <w:bCs/>
          <w:sz w:val="20"/>
          <w:szCs w:val="20"/>
        </w:rPr>
        <w:t xml:space="preserve">  </w:t>
      </w:r>
    </w:p>
    <w:p w14:paraId="3243B789" w14:textId="77777777" w:rsidR="00CF6C2E" w:rsidRPr="00533DA5" w:rsidRDefault="00CF6C2E" w:rsidP="00CF6C2E">
      <w:pPr>
        <w:numPr>
          <w:ilvl w:val="0"/>
          <w:numId w:val="1"/>
        </w:numPr>
        <w:jc w:val="both"/>
        <w:rPr>
          <w:rFonts w:ascii="Tahoma" w:hAnsi="Tahoma" w:cs="Tahoma"/>
          <w:sz w:val="20"/>
          <w:szCs w:val="20"/>
        </w:rPr>
      </w:pPr>
      <w:r w:rsidRPr="00533DA5">
        <w:rPr>
          <w:rFonts w:ascii="Tahoma" w:hAnsi="Tahoma" w:cs="Tahoma"/>
          <w:bCs/>
          <w:sz w:val="20"/>
          <w:szCs w:val="20"/>
        </w:rPr>
        <w:t xml:space="preserve">Dla uzyskania dodatkowych wyjaśnień w zakresie oceny wniosku przez UOKiK planowane jest zorganizowanie w ciągu najbliższego tygodnia spotkania </w:t>
      </w:r>
      <w:r w:rsidR="00CF1F93">
        <w:rPr>
          <w:rFonts w:ascii="Tahoma" w:hAnsi="Tahoma" w:cs="Tahoma"/>
          <w:bCs/>
          <w:sz w:val="20"/>
          <w:szCs w:val="20"/>
        </w:rPr>
        <w:t xml:space="preserve">przedstawicieli </w:t>
      </w:r>
      <w:r w:rsidRPr="00533DA5">
        <w:rPr>
          <w:rFonts w:ascii="Tahoma" w:hAnsi="Tahoma" w:cs="Tahoma"/>
          <w:bCs/>
          <w:sz w:val="20"/>
          <w:szCs w:val="20"/>
        </w:rPr>
        <w:t>wszystkich Wspólników z Urzędem.</w:t>
      </w:r>
    </w:p>
    <w:p w14:paraId="6AE4D078" w14:textId="77777777" w:rsidR="00CF6C2E" w:rsidRPr="00533DA5" w:rsidRDefault="00CF6C2E" w:rsidP="00CF6C2E">
      <w:pPr>
        <w:numPr>
          <w:ilvl w:val="0"/>
          <w:numId w:val="1"/>
        </w:numPr>
        <w:jc w:val="both"/>
        <w:rPr>
          <w:rFonts w:ascii="Tahoma" w:hAnsi="Tahoma" w:cs="Tahoma"/>
          <w:sz w:val="20"/>
          <w:szCs w:val="20"/>
        </w:rPr>
      </w:pPr>
      <w:r w:rsidRPr="00533DA5">
        <w:rPr>
          <w:rFonts w:ascii="Tahoma" w:hAnsi="Tahoma" w:cs="Tahoma"/>
          <w:bCs/>
          <w:sz w:val="20"/>
          <w:szCs w:val="20"/>
        </w:rPr>
        <w:t xml:space="preserve">Decyzja co do </w:t>
      </w:r>
      <w:r w:rsidR="00CF1F93">
        <w:rPr>
          <w:rFonts w:ascii="Tahoma" w:hAnsi="Tahoma" w:cs="Tahoma"/>
          <w:bCs/>
          <w:sz w:val="20"/>
          <w:szCs w:val="20"/>
        </w:rPr>
        <w:t>przekazania</w:t>
      </w:r>
      <w:r w:rsidRPr="00533DA5">
        <w:rPr>
          <w:rFonts w:ascii="Tahoma" w:hAnsi="Tahoma" w:cs="Tahoma"/>
          <w:bCs/>
          <w:sz w:val="20"/>
          <w:szCs w:val="20"/>
        </w:rPr>
        <w:t xml:space="preserve"> wniosku do KE powinna zapaść do końca bieżącego miesiąca. Możliwe jest jednak wydłużenie ww. terminu poprzez stosowne pismo do UOKiK (14 dniowy termin na podjęcie decyzji w sprawie jest jedynie terminem instrukcyjnym).   </w:t>
      </w:r>
    </w:p>
    <w:p w14:paraId="671E734B" w14:textId="77777777" w:rsidR="00E9612B" w:rsidRPr="00CF6C2E" w:rsidRDefault="00E9612B">
      <w:pPr>
        <w:rPr>
          <w:rFonts w:ascii="Tahoma" w:hAnsi="Tahoma" w:cs="Tahoma"/>
        </w:rPr>
      </w:pPr>
    </w:p>
    <w:sectPr w:rsidR="00E9612B" w:rsidRPr="00CF6C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99EBB" w14:textId="77777777" w:rsidR="000B0925" w:rsidRDefault="000B0925" w:rsidP="00533DA5">
      <w:pPr>
        <w:spacing w:after="0" w:line="240" w:lineRule="auto"/>
      </w:pPr>
      <w:r>
        <w:separator/>
      </w:r>
    </w:p>
  </w:endnote>
  <w:endnote w:type="continuationSeparator" w:id="0">
    <w:p w14:paraId="40BC03AF" w14:textId="77777777" w:rsidR="000B0925" w:rsidRDefault="000B0925" w:rsidP="0053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BDD24" w14:textId="77777777" w:rsidR="000B0925" w:rsidRDefault="000B0925" w:rsidP="00533DA5">
      <w:pPr>
        <w:spacing w:after="0" w:line="240" w:lineRule="auto"/>
      </w:pPr>
      <w:r>
        <w:separator/>
      </w:r>
    </w:p>
  </w:footnote>
  <w:footnote w:type="continuationSeparator" w:id="0">
    <w:p w14:paraId="77C2F7E1" w14:textId="77777777" w:rsidR="000B0925" w:rsidRDefault="000B0925" w:rsidP="00533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395"/>
    <w:multiLevelType w:val="multilevel"/>
    <w:tmpl w:val="2EDC02FA"/>
    <w:lvl w:ilvl="0">
      <w:start w:val="1"/>
      <w:numFmt w:val="decimal"/>
      <w:lvlText w:val="%1."/>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567"/>
      </w:pPr>
      <w:rPr>
        <w:rFonts w:ascii="Wingdings" w:hAnsi="Wingdings" w:hint="default"/>
        <w:b w:val="0"/>
        <w:bCs/>
        <w:i w:val="0"/>
      </w:rPr>
    </w:lvl>
    <w:lvl w:ilvl="2">
      <w:start w:val="1"/>
      <w:numFmt w:val="lowerLetter"/>
      <w:lvlText w:val="%3)"/>
      <w:lvlJc w:val="left"/>
      <w:pPr>
        <w:ind w:left="1080" w:hanging="720"/>
      </w:pPr>
      <w:rPr>
        <w:rFonts w:ascii="Arial" w:hAnsi="Arial" w:cs="Aria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98251D"/>
    <w:multiLevelType w:val="hybridMultilevel"/>
    <w:tmpl w:val="7E003B4E"/>
    <w:lvl w:ilvl="0" w:tplc="0415000B">
      <w:start w:val="1"/>
      <w:numFmt w:val="bullet"/>
      <w:lvlText w:val=""/>
      <w:lvlJc w:val="left"/>
      <w:pPr>
        <w:tabs>
          <w:tab w:val="num" w:pos="1485"/>
        </w:tabs>
        <w:ind w:left="148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15BE58F7"/>
    <w:multiLevelType w:val="hybridMultilevel"/>
    <w:tmpl w:val="9D122D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967E3"/>
    <w:multiLevelType w:val="hybridMultilevel"/>
    <w:tmpl w:val="3CB0BC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A4AF7"/>
    <w:multiLevelType w:val="hybridMultilevel"/>
    <w:tmpl w:val="419A12D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EF320EA0" w:tentative="1">
      <w:start w:val="1"/>
      <w:numFmt w:val="bullet"/>
      <w:lvlText w:val=""/>
      <w:lvlJc w:val="left"/>
      <w:pPr>
        <w:tabs>
          <w:tab w:val="num" w:pos="2160"/>
        </w:tabs>
        <w:ind w:left="2160" w:hanging="360"/>
      </w:pPr>
      <w:rPr>
        <w:rFonts w:ascii="Wingdings" w:hAnsi="Wingdings" w:hint="default"/>
      </w:rPr>
    </w:lvl>
    <w:lvl w:ilvl="3" w:tplc="80FEFBC8" w:tentative="1">
      <w:start w:val="1"/>
      <w:numFmt w:val="bullet"/>
      <w:lvlText w:val=""/>
      <w:lvlJc w:val="left"/>
      <w:pPr>
        <w:tabs>
          <w:tab w:val="num" w:pos="2880"/>
        </w:tabs>
        <w:ind w:left="2880" w:hanging="360"/>
      </w:pPr>
      <w:rPr>
        <w:rFonts w:ascii="Wingdings" w:hAnsi="Wingdings" w:hint="default"/>
      </w:rPr>
    </w:lvl>
    <w:lvl w:ilvl="4" w:tplc="F53CA250" w:tentative="1">
      <w:start w:val="1"/>
      <w:numFmt w:val="bullet"/>
      <w:lvlText w:val=""/>
      <w:lvlJc w:val="left"/>
      <w:pPr>
        <w:tabs>
          <w:tab w:val="num" w:pos="3600"/>
        </w:tabs>
        <w:ind w:left="3600" w:hanging="360"/>
      </w:pPr>
      <w:rPr>
        <w:rFonts w:ascii="Wingdings" w:hAnsi="Wingdings" w:hint="default"/>
      </w:rPr>
    </w:lvl>
    <w:lvl w:ilvl="5" w:tplc="5FE8C54A" w:tentative="1">
      <w:start w:val="1"/>
      <w:numFmt w:val="bullet"/>
      <w:lvlText w:val=""/>
      <w:lvlJc w:val="left"/>
      <w:pPr>
        <w:tabs>
          <w:tab w:val="num" w:pos="4320"/>
        </w:tabs>
        <w:ind w:left="4320" w:hanging="360"/>
      </w:pPr>
      <w:rPr>
        <w:rFonts w:ascii="Wingdings" w:hAnsi="Wingdings" w:hint="default"/>
      </w:rPr>
    </w:lvl>
    <w:lvl w:ilvl="6" w:tplc="3C42FD90" w:tentative="1">
      <w:start w:val="1"/>
      <w:numFmt w:val="bullet"/>
      <w:lvlText w:val=""/>
      <w:lvlJc w:val="left"/>
      <w:pPr>
        <w:tabs>
          <w:tab w:val="num" w:pos="5040"/>
        </w:tabs>
        <w:ind w:left="5040" w:hanging="360"/>
      </w:pPr>
      <w:rPr>
        <w:rFonts w:ascii="Wingdings" w:hAnsi="Wingdings" w:hint="default"/>
      </w:rPr>
    </w:lvl>
    <w:lvl w:ilvl="7" w:tplc="266AFE4E" w:tentative="1">
      <w:start w:val="1"/>
      <w:numFmt w:val="bullet"/>
      <w:lvlText w:val=""/>
      <w:lvlJc w:val="left"/>
      <w:pPr>
        <w:tabs>
          <w:tab w:val="num" w:pos="5760"/>
        </w:tabs>
        <w:ind w:left="5760" w:hanging="360"/>
      </w:pPr>
      <w:rPr>
        <w:rFonts w:ascii="Wingdings" w:hAnsi="Wingdings" w:hint="default"/>
      </w:rPr>
    </w:lvl>
    <w:lvl w:ilvl="8" w:tplc="86E206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F7947"/>
    <w:multiLevelType w:val="hybridMultilevel"/>
    <w:tmpl w:val="DC589A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564C2"/>
    <w:multiLevelType w:val="hybridMultilevel"/>
    <w:tmpl w:val="76480D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32DF458B"/>
    <w:multiLevelType w:val="hybridMultilevel"/>
    <w:tmpl w:val="660427EA"/>
    <w:lvl w:ilvl="0" w:tplc="9AF668D8">
      <w:start w:val="1"/>
      <w:numFmt w:val="bullet"/>
      <w:lvlText w:val=""/>
      <w:lvlJc w:val="left"/>
      <w:pPr>
        <w:tabs>
          <w:tab w:val="num" w:pos="720"/>
        </w:tabs>
        <w:ind w:left="720" w:hanging="360"/>
      </w:pPr>
      <w:rPr>
        <w:rFonts w:ascii="Wingdings" w:hAnsi="Wingdings" w:hint="default"/>
      </w:rPr>
    </w:lvl>
    <w:lvl w:ilvl="1" w:tplc="A1720434">
      <w:numFmt w:val="bullet"/>
      <w:lvlText w:val="•"/>
      <w:lvlJc w:val="left"/>
      <w:pPr>
        <w:tabs>
          <w:tab w:val="num" w:pos="1440"/>
        </w:tabs>
        <w:ind w:left="1440" w:hanging="360"/>
      </w:pPr>
      <w:rPr>
        <w:rFonts w:ascii="Arial" w:hAnsi="Arial" w:hint="default"/>
      </w:rPr>
    </w:lvl>
    <w:lvl w:ilvl="2" w:tplc="9352563A" w:tentative="1">
      <w:start w:val="1"/>
      <w:numFmt w:val="bullet"/>
      <w:lvlText w:val=""/>
      <w:lvlJc w:val="left"/>
      <w:pPr>
        <w:tabs>
          <w:tab w:val="num" w:pos="2160"/>
        </w:tabs>
        <w:ind w:left="2160" w:hanging="360"/>
      </w:pPr>
      <w:rPr>
        <w:rFonts w:ascii="Wingdings" w:hAnsi="Wingdings" w:hint="default"/>
      </w:rPr>
    </w:lvl>
    <w:lvl w:ilvl="3" w:tplc="754C49F8" w:tentative="1">
      <w:start w:val="1"/>
      <w:numFmt w:val="bullet"/>
      <w:lvlText w:val=""/>
      <w:lvlJc w:val="left"/>
      <w:pPr>
        <w:tabs>
          <w:tab w:val="num" w:pos="2880"/>
        </w:tabs>
        <w:ind w:left="2880" w:hanging="360"/>
      </w:pPr>
      <w:rPr>
        <w:rFonts w:ascii="Wingdings" w:hAnsi="Wingdings" w:hint="default"/>
      </w:rPr>
    </w:lvl>
    <w:lvl w:ilvl="4" w:tplc="01568478" w:tentative="1">
      <w:start w:val="1"/>
      <w:numFmt w:val="bullet"/>
      <w:lvlText w:val=""/>
      <w:lvlJc w:val="left"/>
      <w:pPr>
        <w:tabs>
          <w:tab w:val="num" w:pos="3600"/>
        </w:tabs>
        <w:ind w:left="3600" w:hanging="360"/>
      </w:pPr>
      <w:rPr>
        <w:rFonts w:ascii="Wingdings" w:hAnsi="Wingdings" w:hint="default"/>
      </w:rPr>
    </w:lvl>
    <w:lvl w:ilvl="5" w:tplc="566829EA" w:tentative="1">
      <w:start w:val="1"/>
      <w:numFmt w:val="bullet"/>
      <w:lvlText w:val=""/>
      <w:lvlJc w:val="left"/>
      <w:pPr>
        <w:tabs>
          <w:tab w:val="num" w:pos="4320"/>
        </w:tabs>
        <w:ind w:left="4320" w:hanging="360"/>
      </w:pPr>
      <w:rPr>
        <w:rFonts w:ascii="Wingdings" w:hAnsi="Wingdings" w:hint="default"/>
      </w:rPr>
    </w:lvl>
    <w:lvl w:ilvl="6" w:tplc="5108EF0C" w:tentative="1">
      <w:start w:val="1"/>
      <w:numFmt w:val="bullet"/>
      <w:lvlText w:val=""/>
      <w:lvlJc w:val="left"/>
      <w:pPr>
        <w:tabs>
          <w:tab w:val="num" w:pos="5040"/>
        </w:tabs>
        <w:ind w:left="5040" w:hanging="360"/>
      </w:pPr>
      <w:rPr>
        <w:rFonts w:ascii="Wingdings" w:hAnsi="Wingdings" w:hint="default"/>
      </w:rPr>
    </w:lvl>
    <w:lvl w:ilvl="7" w:tplc="35068568" w:tentative="1">
      <w:start w:val="1"/>
      <w:numFmt w:val="bullet"/>
      <w:lvlText w:val=""/>
      <w:lvlJc w:val="left"/>
      <w:pPr>
        <w:tabs>
          <w:tab w:val="num" w:pos="5760"/>
        </w:tabs>
        <w:ind w:left="5760" w:hanging="360"/>
      </w:pPr>
      <w:rPr>
        <w:rFonts w:ascii="Wingdings" w:hAnsi="Wingdings" w:hint="default"/>
      </w:rPr>
    </w:lvl>
    <w:lvl w:ilvl="8" w:tplc="835A9D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25E87"/>
    <w:multiLevelType w:val="hybridMultilevel"/>
    <w:tmpl w:val="E4A64746"/>
    <w:lvl w:ilvl="0" w:tplc="5E0ECEE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8717AD0"/>
    <w:multiLevelType w:val="hybridMultilevel"/>
    <w:tmpl w:val="CB7038A6"/>
    <w:lvl w:ilvl="0" w:tplc="04150011">
      <w:start w:val="1"/>
      <w:numFmt w:val="decimal"/>
      <w:lvlText w:val="%1)"/>
      <w:lvlJc w:val="left"/>
      <w:pPr>
        <w:ind w:left="1353" w:hanging="360"/>
      </w:pPr>
    </w:lvl>
    <w:lvl w:ilvl="1" w:tplc="04150011">
      <w:start w:val="1"/>
      <w:numFmt w:val="decimal"/>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568F7A78"/>
    <w:multiLevelType w:val="hybridMultilevel"/>
    <w:tmpl w:val="518850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AE728BA"/>
    <w:multiLevelType w:val="hybridMultilevel"/>
    <w:tmpl w:val="7C740716"/>
    <w:lvl w:ilvl="0" w:tplc="0A3AC200">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EF320EA0" w:tentative="1">
      <w:start w:val="1"/>
      <w:numFmt w:val="bullet"/>
      <w:lvlText w:val=""/>
      <w:lvlJc w:val="left"/>
      <w:pPr>
        <w:tabs>
          <w:tab w:val="num" w:pos="2160"/>
        </w:tabs>
        <w:ind w:left="2160" w:hanging="360"/>
      </w:pPr>
      <w:rPr>
        <w:rFonts w:ascii="Wingdings" w:hAnsi="Wingdings" w:hint="default"/>
      </w:rPr>
    </w:lvl>
    <w:lvl w:ilvl="3" w:tplc="80FEFBC8" w:tentative="1">
      <w:start w:val="1"/>
      <w:numFmt w:val="bullet"/>
      <w:lvlText w:val=""/>
      <w:lvlJc w:val="left"/>
      <w:pPr>
        <w:tabs>
          <w:tab w:val="num" w:pos="2880"/>
        </w:tabs>
        <w:ind w:left="2880" w:hanging="360"/>
      </w:pPr>
      <w:rPr>
        <w:rFonts w:ascii="Wingdings" w:hAnsi="Wingdings" w:hint="default"/>
      </w:rPr>
    </w:lvl>
    <w:lvl w:ilvl="4" w:tplc="F53CA250" w:tentative="1">
      <w:start w:val="1"/>
      <w:numFmt w:val="bullet"/>
      <w:lvlText w:val=""/>
      <w:lvlJc w:val="left"/>
      <w:pPr>
        <w:tabs>
          <w:tab w:val="num" w:pos="3600"/>
        </w:tabs>
        <w:ind w:left="3600" w:hanging="360"/>
      </w:pPr>
      <w:rPr>
        <w:rFonts w:ascii="Wingdings" w:hAnsi="Wingdings" w:hint="default"/>
      </w:rPr>
    </w:lvl>
    <w:lvl w:ilvl="5" w:tplc="5FE8C54A" w:tentative="1">
      <w:start w:val="1"/>
      <w:numFmt w:val="bullet"/>
      <w:lvlText w:val=""/>
      <w:lvlJc w:val="left"/>
      <w:pPr>
        <w:tabs>
          <w:tab w:val="num" w:pos="4320"/>
        </w:tabs>
        <w:ind w:left="4320" w:hanging="360"/>
      </w:pPr>
      <w:rPr>
        <w:rFonts w:ascii="Wingdings" w:hAnsi="Wingdings" w:hint="default"/>
      </w:rPr>
    </w:lvl>
    <w:lvl w:ilvl="6" w:tplc="3C42FD90" w:tentative="1">
      <w:start w:val="1"/>
      <w:numFmt w:val="bullet"/>
      <w:lvlText w:val=""/>
      <w:lvlJc w:val="left"/>
      <w:pPr>
        <w:tabs>
          <w:tab w:val="num" w:pos="5040"/>
        </w:tabs>
        <w:ind w:left="5040" w:hanging="360"/>
      </w:pPr>
      <w:rPr>
        <w:rFonts w:ascii="Wingdings" w:hAnsi="Wingdings" w:hint="default"/>
      </w:rPr>
    </w:lvl>
    <w:lvl w:ilvl="7" w:tplc="266AFE4E" w:tentative="1">
      <w:start w:val="1"/>
      <w:numFmt w:val="bullet"/>
      <w:lvlText w:val=""/>
      <w:lvlJc w:val="left"/>
      <w:pPr>
        <w:tabs>
          <w:tab w:val="num" w:pos="5760"/>
        </w:tabs>
        <w:ind w:left="5760" w:hanging="360"/>
      </w:pPr>
      <w:rPr>
        <w:rFonts w:ascii="Wingdings" w:hAnsi="Wingdings" w:hint="default"/>
      </w:rPr>
    </w:lvl>
    <w:lvl w:ilvl="8" w:tplc="86E206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92FBD"/>
    <w:multiLevelType w:val="hybridMultilevel"/>
    <w:tmpl w:val="F9640C36"/>
    <w:lvl w:ilvl="0" w:tplc="38DE299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6EB14997"/>
    <w:multiLevelType w:val="hybridMultilevel"/>
    <w:tmpl w:val="B3C05B0E"/>
    <w:lvl w:ilvl="0" w:tplc="02A61D8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6FB54184"/>
    <w:multiLevelType w:val="hybridMultilevel"/>
    <w:tmpl w:val="116258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75132E70"/>
    <w:multiLevelType w:val="hybridMultilevel"/>
    <w:tmpl w:val="3B8A9918"/>
    <w:lvl w:ilvl="0" w:tplc="A974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1"/>
  </w:num>
  <w:num w:numId="2">
    <w:abstractNumId w:val="7"/>
  </w:num>
  <w:num w:numId="3">
    <w:abstractNumId w:val="14"/>
  </w:num>
  <w:num w:numId="4">
    <w:abstractNumId w:val="0"/>
  </w:num>
  <w:num w:numId="5">
    <w:abstractNumId w:val="8"/>
  </w:num>
  <w:num w:numId="6">
    <w:abstractNumId w:val="13"/>
  </w:num>
  <w:num w:numId="7">
    <w:abstractNumId w:val="15"/>
  </w:num>
  <w:num w:numId="8">
    <w:abstractNumId w:val="12"/>
  </w:num>
  <w:num w:numId="9">
    <w:abstractNumId w:val="6"/>
  </w:num>
  <w:num w:numId="10">
    <w:abstractNumId w:val="1"/>
  </w:num>
  <w:num w:numId="11">
    <w:abstractNumId w:val="10"/>
  </w:num>
  <w:num w:numId="12">
    <w:abstractNumId w:val="4"/>
  </w:num>
  <w:num w:numId="13">
    <w:abstractNumId w:val="9"/>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E1"/>
    <w:rsid w:val="0001688B"/>
    <w:rsid w:val="00050C92"/>
    <w:rsid w:val="000B0925"/>
    <w:rsid w:val="001A177C"/>
    <w:rsid w:val="001B18F8"/>
    <w:rsid w:val="001E64C4"/>
    <w:rsid w:val="002E27E1"/>
    <w:rsid w:val="004D02A5"/>
    <w:rsid w:val="00533DA5"/>
    <w:rsid w:val="005538A2"/>
    <w:rsid w:val="005A65E7"/>
    <w:rsid w:val="005E05D9"/>
    <w:rsid w:val="005E1909"/>
    <w:rsid w:val="005F389B"/>
    <w:rsid w:val="00671EB2"/>
    <w:rsid w:val="0067443C"/>
    <w:rsid w:val="00777328"/>
    <w:rsid w:val="0080139A"/>
    <w:rsid w:val="009768D3"/>
    <w:rsid w:val="00A476CC"/>
    <w:rsid w:val="00A67CB3"/>
    <w:rsid w:val="00AE7738"/>
    <w:rsid w:val="00AF20B9"/>
    <w:rsid w:val="00AF58C9"/>
    <w:rsid w:val="00B255CB"/>
    <w:rsid w:val="00BC5A67"/>
    <w:rsid w:val="00CD44D0"/>
    <w:rsid w:val="00CF1F93"/>
    <w:rsid w:val="00CF6C2E"/>
    <w:rsid w:val="00D249A2"/>
    <w:rsid w:val="00E90C88"/>
    <w:rsid w:val="00E9612B"/>
    <w:rsid w:val="00F12CF1"/>
    <w:rsid w:val="00F97641"/>
    <w:rsid w:val="00FC1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29D"/>
  <w15:chartTrackingRefBased/>
  <w15:docId w15:val="{B5F01321-4C70-4DDE-82B1-8CF82EFF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E64C4"/>
    <w:pPr>
      <w:keepNext/>
      <w:keepLines/>
      <w:shd w:val="clear" w:color="auto" w:fill="5B9BD5" w:themeFill="accent1"/>
      <w:spacing w:before="240" w:after="240"/>
      <w:ind w:left="567" w:right="284" w:hanging="567"/>
      <w:outlineLvl w:val="0"/>
    </w:pPr>
    <w:rPr>
      <w:rFonts w:ascii="Georgia" w:eastAsiaTheme="majorEastAsia" w:hAnsi="Georgia" w:cstheme="majorBidi"/>
      <w:b/>
      <w:noProof/>
      <w:color w:val="FFFFFF" w:themeColor="background1"/>
      <w:sz w:val="28"/>
      <w:szCs w:val="32"/>
      <w:lang w:eastAsia="pl-PL" w:bidi="he-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D44D0"/>
    <w:pPr>
      <w:ind w:left="720"/>
      <w:contextualSpacing/>
    </w:pPr>
  </w:style>
  <w:style w:type="character" w:customStyle="1" w:styleId="Nagwek1Znak">
    <w:name w:val="Nagłówek 1 Znak"/>
    <w:basedOn w:val="Domylnaczcionkaakapitu"/>
    <w:link w:val="Nagwek1"/>
    <w:uiPriority w:val="9"/>
    <w:rsid w:val="001E64C4"/>
    <w:rPr>
      <w:rFonts w:ascii="Georgia" w:eastAsiaTheme="majorEastAsia" w:hAnsi="Georgia" w:cstheme="majorBidi"/>
      <w:b/>
      <w:noProof/>
      <w:color w:val="FFFFFF" w:themeColor="background1"/>
      <w:sz w:val="28"/>
      <w:szCs w:val="32"/>
      <w:shd w:val="clear" w:color="auto" w:fill="5B9BD5" w:themeFill="accent1"/>
      <w:lang w:eastAsia="pl-PL" w:bidi="he-IL"/>
    </w:rPr>
  </w:style>
  <w:style w:type="character" w:customStyle="1" w:styleId="AkapitzlistZnak">
    <w:name w:val="Akapit z listą Znak"/>
    <w:basedOn w:val="Domylnaczcionkaakapitu"/>
    <w:link w:val="Akapitzlist"/>
    <w:uiPriority w:val="34"/>
    <w:rsid w:val="001E64C4"/>
  </w:style>
  <w:style w:type="paragraph" w:styleId="Nagwek">
    <w:name w:val="header"/>
    <w:basedOn w:val="Normalny"/>
    <w:link w:val="NagwekZnak"/>
    <w:uiPriority w:val="99"/>
    <w:unhideWhenUsed/>
    <w:rsid w:val="00533D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3DA5"/>
  </w:style>
  <w:style w:type="paragraph" w:styleId="Stopka">
    <w:name w:val="footer"/>
    <w:basedOn w:val="Normalny"/>
    <w:link w:val="StopkaZnak"/>
    <w:uiPriority w:val="99"/>
    <w:unhideWhenUsed/>
    <w:rsid w:val="00533D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3DA5"/>
  </w:style>
  <w:style w:type="character" w:styleId="Odwoaniedokomentarza">
    <w:name w:val="annotation reference"/>
    <w:basedOn w:val="Domylnaczcionkaakapitu"/>
    <w:uiPriority w:val="99"/>
    <w:semiHidden/>
    <w:unhideWhenUsed/>
    <w:rsid w:val="005F389B"/>
    <w:rPr>
      <w:sz w:val="16"/>
      <w:szCs w:val="16"/>
    </w:rPr>
  </w:style>
  <w:style w:type="paragraph" w:styleId="Tekstkomentarza">
    <w:name w:val="annotation text"/>
    <w:basedOn w:val="Normalny"/>
    <w:link w:val="TekstkomentarzaZnak"/>
    <w:uiPriority w:val="99"/>
    <w:semiHidden/>
    <w:unhideWhenUsed/>
    <w:rsid w:val="005F38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389B"/>
    <w:rPr>
      <w:sz w:val="20"/>
      <w:szCs w:val="20"/>
    </w:rPr>
  </w:style>
  <w:style w:type="paragraph" w:styleId="Tematkomentarza">
    <w:name w:val="annotation subject"/>
    <w:basedOn w:val="Tekstkomentarza"/>
    <w:next w:val="Tekstkomentarza"/>
    <w:link w:val="TematkomentarzaZnak"/>
    <w:uiPriority w:val="99"/>
    <w:semiHidden/>
    <w:unhideWhenUsed/>
    <w:rsid w:val="005F389B"/>
    <w:rPr>
      <w:b/>
      <w:bCs/>
    </w:rPr>
  </w:style>
  <w:style w:type="character" w:customStyle="1" w:styleId="TematkomentarzaZnak">
    <w:name w:val="Temat komentarza Znak"/>
    <w:basedOn w:val="TekstkomentarzaZnak"/>
    <w:link w:val="Tematkomentarza"/>
    <w:uiPriority w:val="99"/>
    <w:semiHidden/>
    <w:rsid w:val="005F389B"/>
    <w:rPr>
      <w:b/>
      <w:bCs/>
      <w:sz w:val="20"/>
      <w:szCs w:val="20"/>
    </w:rPr>
  </w:style>
  <w:style w:type="paragraph" w:styleId="Tekstdymka">
    <w:name w:val="Balloon Text"/>
    <w:basedOn w:val="Normalny"/>
    <w:link w:val="TekstdymkaZnak"/>
    <w:uiPriority w:val="99"/>
    <w:semiHidden/>
    <w:unhideWhenUsed/>
    <w:rsid w:val="005F38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3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6316">
      <w:bodyDiv w:val="1"/>
      <w:marLeft w:val="0"/>
      <w:marRight w:val="0"/>
      <w:marTop w:val="0"/>
      <w:marBottom w:val="0"/>
      <w:divBdr>
        <w:top w:val="none" w:sz="0" w:space="0" w:color="auto"/>
        <w:left w:val="none" w:sz="0" w:space="0" w:color="auto"/>
        <w:bottom w:val="none" w:sz="0" w:space="0" w:color="auto"/>
        <w:right w:val="none" w:sz="0" w:space="0" w:color="auto"/>
      </w:divBdr>
    </w:div>
    <w:div w:id="1515723656">
      <w:bodyDiv w:val="1"/>
      <w:marLeft w:val="0"/>
      <w:marRight w:val="0"/>
      <w:marTop w:val="0"/>
      <w:marBottom w:val="0"/>
      <w:divBdr>
        <w:top w:val="none" w:sz="0" w:space="0" w:color="auto"/>
        <w:left w:val="none" w:sz="0" w:space="0" w:color="auto"/>
        <w:bottom w:val="none" w:sz="0" w:space="0" w:color="auto"/>
        <w:right w:val="none" w:sz="0" w:space="0" w:color="auto"/>
      </w:divBdr>
      <w:divsChild>
        <w:div w:id="1142388501">
          <w:marLeft w:val="446"/>
          <w:marRight w:val="0"/>
          <w:marTop w:val="77"/>
          <w:marBottom w:val="0"/>
          <w:divBdr>
            <w:top w:val="none" w:sz="0" w:space="0" w:color="auto"/>
            <w:left w:val="none" w:sz="0" w:space="0" w:color="auto"/>
            <w:bottom w:val="none" w:sz="0" w:space="0" w:color="auto"/>
            <w:right w:val="none" w:sz="0" w:space="0" w:color="auto"/>
          </w:divBdr>
        </w:div>
        <w:div w:id="28989627">
          <w:marLeft w:val="1008"/>
          <w:marRight w:val="0"/>
          <w:marTop w:val="77"/>
          <w:marBottom w:val="0"/>
          <w:divBdr>
            <w:top w:val="none" w:sz="0" w:space="0" w:color="auto"/>
            <w:left w:val="none" w:sz="0" w:space="0" w:color="auto"/>
            <w:bottom w:val="none" w:sz="0" w:space="0" w:color="auto"/>
            <w:right w:val="none" w:sz="0" w:space="0" w:color="auto"/>
          </w:divBdr>
        </w:div>
        <w:div w:id="892038073">
          <w:marLeft w:val="1008"/>
          <w:marRight w:val="0"/>
          <w:marTop w:val="77"/>
          <w:marBottom w:val="0"/>
          <w:divBdr>
            <w:top w:val="none" w:sz="0" w:space="0" w:color="auto"/>
            <w:left w:val="none" w:sz="0" w:space="0" w:color="auto"/>
            <w:bottom w:val="none" w:sz="0" w:space="0" w:color="auto"/>
            <w:right w:val="none" w:sz="0" w:space="0" w:color="auto"/>
          </w:divBdr>
        </w:div>
        <w:div w:id="1588227194">
          <w:marLeft w:val="446"/>
          <w:marRight w:val="0"/>
          <w:marTop w:val="77"/>
          <w:marBottom w:val="0"/>
          <w:divBdr>
            <w:top w:val="none" w:sz="0" w:space="0" w:color="auto"/>
            <w:left w:val="none" w:sz="0" w:space="0" w:color="auto"/>
            <w:bottom w:val="none" w:sz="0" w:space="0" w:color="auto"/>
            <w:right w:val="none" w:sz="0" w:space="0" w:color="auto"/>
          </w:divBdr>
        </w:div>
        <w:div w:id="1947154108">
          <w:marLeft w:val="446"/>
          <w:marRight w:val="0"/>
          <w:marTop w:val="77"/>
          <w:marBottom w:val="0"/>
          <w:divBdr>
            <w:top w:val="none" w:sz="0" w:space="0" w:color="auto"/>
            <w:left w:val="none" w:sz="0" w:space="0" w:color="auto"/>
            <w:bottom w:val="none" w:sz="0" w:space="0" w:color="auto"/>
            <w:right w:val="none" w:sz="0" w:space="0" w:color="auto"/>
          </w:divBdr>
        </w:div>
        <w:div w:id="370544800">
          <w:marLeft w:val="446"/>
          <w:marRight w:val="0"/>
          <w:marTop w:val="77"/>
          <w:marBottom w:val="0"/>
          <w:divBdr>
            <w:top w:val="none" w:sz="0" w:space="0" w:color="auto"/>
            <w:left w:val="none" w:sz="0" w:space="0" w:color="auto"/>
            <w:bottom w:val="none" w:sz="0" w:space="0" w:color="auto"/>
            <w:right w:val="none" w:sz="0" w:space="0" w:color="auto"/>
          </w:divBdr>
        </w:div>
      </w:divsChild>
    </w:div>
    <w:div w:id="1750037796">
      <w:bodyDiv w:val="1"/>
      <w:marLeft w:val="0"/>
      <w:marRight w:val="0"/>
      <w:marTop w:val="0"/>
      <w:marBottom w:val="0"/>
      <w:divBdr>
        <w:top w:val="none" w:sz="0" w:space="0" w:color="auto"/>
        <w:left w:val="none" w:sz="0" w:space="0" w:color="auto"/>
        <w:bottom w:val="none" w:sz="0" w:space="0" w:color="auto"/>
        <w:right w:val="none" w:sz="0" w:space="0" w:color="auto"/>
      </w:divBdr>
      <w:divsChild>
        <w:div w:id="317348223">
          <w:marLeft w:val="446"/>
          <w:marRight w:val="0"/>
          <w:marTop w:val="77"/>
          <w:marBottom w:val="0"/>
          <w:divBdr>
            <w:top w:val="none" w:sz="0" w:space="0" w:color="auto"/>
            <w:left w:val="none" w:sz="0" w:space="0" w:color="auto"/>
            <w:bottom w:val="none" w:sz="0" w:space="0" w:color="auto"/>
            <w:right w:val="none" w:sz="0" w:space="0" w:color="auto"/>
          </w:divBdr>
        </w:div>
        <w:div w:id="1707171332">
          <w:marLeft w:val="1008"/>
          <w:marRight w:val="0"/>
          <w:marTop w:val="77"/>
          <w:marBottom w:val="0"/>
          <w:divBdr>
            <w:top w:val="none" w:sz="0" w:space="0" w:color="auto"/>
            <w:left w:val="none" w:sz="0" w:space="0" w:color="auto"/>
            <w:bottom w:val="none" w:sz="0" w:space="0" w:color="auto"/>
            <w:right w:val="none" w:sz="0" w:space="0" w:color="auto"/>
          </w:divBdr>
        </w:div>
        <w:div w:id="424617594">
          <w:marLeft w:val="1008"/>
          <w:marRight w:val="0"/>
          <w:marTop w:val="77"/>
          <w:marBottom w:val="0"/>
          <w:divBdr>
            <w:top w:val="none" w:sz="0" w:space="0" w:color="auto"/>
            <w:left w:val="none" w:sz="0" w:space="0" w:color="auto"/>
            <w:bottom w:val="none" w:sz="0" w:space="0" w:color="auto"/>
            <w:right w:val="none" w:sz="0" w:space="0" w:color="auto"/>
          </w:divBdr>
        </w:div>
        <w:div w:id="1718583200">
          <w:marLeft w:val="1008"/>
          <w:marRight w:val="0"/>
          <w:marTop w:val="77"/>
          <w:marBottom w:val="0"/>
          <w:divBdr>
            <w:top w:val="none" w:sz="0" w:space="0" w:color="auto"/>
            <w:left w:val="none" w:sz="0" w:space="0" w:color="auto"/>
            <w:bottom w:val="none" w:sz="0" w:space="0" w:color="auto"/>
            <w:right w:val="none" w:sz="0" w:space="0" w:color="auto"/>
          </w:divBdr>
        </w:div>
        <w:div w:id="1734892811">
          <w:marLeft w:val="1008"/>
          <w:marRight w:val="0"/>
          <w:marTop w:val="77"/>
          <w:marBottom w:val="0"/>
          <w:divBdr>
            <w:top w:val="none" w:sz="0" w:space="0" w:color="auto"/>
            <w:left w:val="none" w:sz="0" w:space="0" w:color="auto"/>
            <w:bottom w:val="none" w:sz="0" w:space="0" w:color="auto"/>
            <w:right w:val="none" w:sz="0" w:space="0" w:color="auto"/>
          </w:divBdr>
        </w:div>
        <w:div w:id="1464079718">
          <w:marLeft w:val="1008"/>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7284</Characters>
  <Application>Microsoft Office Word</Application>
  <DocSecurity>4</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PPL</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Bogaj, Agnieszka</dc:creator>
  <cp:keywords/>
  <dc:description/>
  <cp:lastModifiedBy>Bogaj, Agnieszka</cp:lastModifiedBy>
  <cp:revision>2</cp:revision>
  <dcterms:created xsi:type="dcterms:W3CDTF">2020-11-23T13:51:00Z</dcterms:created>
  <dcterms:modified xsi:type="dcterms:W3CDTF">2020-11-23T13:51:00Z</dcterms:modified>
</cp:coreProperties>
</file>